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36D5" w14:textId="1D8FD630" w:rsidR="00D64A9B" w:rsidRDefault="00EA40C8" w:rsidP="00EA40C8">
      <w:pPr>
        <w:pStyle w:val="Heading-Stone"/>
        <w:rPr>
          <w:sz w:val="48"/>
          <w:szCs w:val="48"/>
        </w:rPr>
      </w:pPr>
      <w:r w:rsidRPr="001964FF">
        <w:rPr>
          <w:sz w:val="48"/>
          <w:szCs w:val="48"/>
        </w:rPr>
        <w:t xml:space="preserve">Taking Action Against Elder Abuse </w:t>
      </w:r>
      <w:r w:rsidR="00630A63">
        <w:rPr>
          <w:sz w:val="48"/>
          <w:szCs w:val="48"/>
        </w:rPr>
        <w:t>–</w:t>
      </w:r>
      <w:r w:rsidRPr="001964FF">
        <w:rPr>
          <w:sz w:val="48"/>
          <w:szCs w:val="48"/>
        </w:rPr>
        <w:t xml:space="preserve"> </w:t>
      </w:r>
    </w:p>
    <w:p w14:paraId="3218AB4E" w14:textId="77777777" w:rsidR="00630A63" w:rsidRDefault="00630A63" w:rsidP="00630A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Community Response Project (year 2)</w:t>
      </w:r>
    </w:p>
    <w:p w14:paraId="48714D71" w14:textId="6168A36C" w:rsidR="00EA40C8" w:rsidRPr="00EA40C8" w:rsidRDefault="00EA40C8" w:rsidP="00EA40C8">
      <w:pPr>
        <w:pStyle w:val="Heading-Stone"/>
        <w:rPr>
          <w:color w:val="7030A0"/>
          <w:sz w:val="52"/>
          <w:szCs w:val="52"/>
        </w:rPr>
      </w:pPr>
      <w:r w:rsidRPr="00EA40C8">
        <w:rPr>
          <w:color w:val="7030A0"/>
          <w:sz w:val="52"/>
          <w:szCs w:val="52"/>
        </w:rPr>
        <w:t xml:space="preserve">Grant </w:t>
      </w:r>
      <w:r w:rsidR="008D60D0">
        <w:rPr>
          <w:color w:val="7030A0"/>
          <w:sz w:val="52"/>
          <w:szCs w:val="52"/>
        </w:rPr>
        <w:t>Guidelines</w:t>
      </w:r>
      <w:r w:rsidR="00EA75DA">
        <w:rPr>
          <w:color w:val="7030A0"/>
          <w:sz w:val="52"/>
          <w:szCs w:val="52"/>
        </w:rPr>
        <w:t xml:space="preserve"> 2024</w:t>
      </w:r>
    </w:p>
    <w:p w14:paraId="76276A7F" w14:textId="77777777" w:rsidR="00EA40C8" w:rsidRPr="000235D4" w:rsidRDefault="00EA40C8">
      <w:pPr>
        <w:rPr>
          <w:b/>
          <w:color w:val="7030A0"/>
          <w:sz w:val="16"/>
          <w:szCs w:val="16"/>
        </w:rPr>
      </w:pPr>
    </w:p>
    <w:p w14:paraId="0702E356" w14:textId="4285BCA3" w:rsidR="00747D66" w:rsidRPr="004423DF" w:rsidRDefault="00747D66" w:rsidP="00E9682D">
      <w:pPr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The Alberta Elder Abuse Awareness Council (AEAAC)</w:t>
      </w:r>
      <w:r w:rsidR="002660F9" w:rsidRPr="004423DF">
        <w:rPr>
          <w:rFonts w:ascii="Arial" w:hAnsi="Arial" w:cs="Arial"/>
          <w:sz w:val="24"/>
          <w:szCs w:val="24"/>
        </w:rPr>
        <w:t>, with funding from</w:t>
      </w:r>
      <w:r w:rsidRPr="004423DF">
        <w:rPr>
          <w:rFonts w:ascii="Arial" w:hAnsi="Arial" w:cs="Arial"/>
          <w:sz w:val="24"/>
          <w:szCs w:val="24"/>
        </w:rPr>
        <w:t xml:space="preserve"> Alberta Seniors and </w:t>
      </w:r>
      <w:r w:rsidR="00EA75DA">
        <w:rPr>
          <w:rFonts w:ascii="Arial" w:hAnsi="Arial" w:cs="Arial"/>
          <w:sz w:val="24"/>
          <w:szCs w:val="24"/>
        </w:rPr>
        <w:t>Community Social Services</w:t>
      </w:r>
      <w:r w:rsidRPr="004423DF">
        <w:rPr>
          <w:rFonts w:ascii="Arial" w:hAnsi="Arial" w:cs="Arial"/>
          <w:sz w:val="24"/>
          <w:szCs w:val="24"/>
        </w:rPr>
        <w:t xml:space="preserve">, </w:t>
      </w:r>
      <w:r w:rsidR="002660F9" w:rsidRPr="004423DF">
        <w:rPr>
          <w:rFonts w:ascii="Arial" w:hAnsi="Arial" w:cs="Arial"/>
          <w:sz w:val="24"/>
          <w:szCs w:val="24"/>
        </w:rPr>
        <w:t xml:space="preserve">is </w:t>
      </w:r>
      <w:r w:rsidRPr="004423DF">
        <w:rPr>
          <w:rFonts w:ascii="Arial" w:hAnsi="Arial" w:cs="Arial"/>
          <w:sz w:val="24"/>
          <w:szCs w:val="24"/>
        </w:rPr>
        <w:t xml:space="preserve">pleased to </w:t>
      </w:r>
      <w:r w:rsidR="002660F9" w:rsidRPr="004423DF">
        <w:rPr>
          <w:rFonts w:ascii="Arial" w:hAnsi="Arial" w:cs="Arial"/>
          <w:sz w:val="24"/>
          <w:szCs w:val="24"/>
        </w:rPr>
        <w:t xml:space="preserve">provide </w:t>
      </w:r>
      <w:r w:rsidR="00CD33EA">
        <w:rPr>
          <w:rFonts w:ascii="Arial" w:hAnsi="Arial" w:cs="Arial"/>
          <w:sz w:val="24"/>
          <w:szCs w:val="24"/>
        </w:rPr>
        <w:t>a</w:t>
      </w:r>
      <w:r w:rsidRPr="004423DF">
        <w:rPr>
          <w:rFonts w:ascii="Arial" w:hAnsi="Arial" w:cs="Arial"/>
          <w:sz w:val="24"/>
          <w:szCs w:val="24"/>
        </w:rPr>
        <w:t xml:space="preserve"> funding opportunity for </w:t>
      </w:r>
      <w:r w:rsidR="002660F9" w:rsidRPr="004423DF">
        <w:rPr>
          <w:rFonts w:ascii="Arial" w:hAnsi="Arial" w:cs="Arial"/>
          <w:sz w:val="24"/>
          <w:szCs w:val="24"/>
        </w:rPr>
        <w:t xml:space="preserve">coordinated community response (CCR) models in Alberta </w:t>
      </w:r>
      <w:r w:rsidRPr="004423DF">
        <w:rPr>
          <w:rFonts w:ascii="Arial" w:hAnsi="Arial" w:cs="Arial"/>
          <w:sz w:val="24"/>
          <w:szCs w:val="24"/>
        </w:rPr>
        <w:t>to provide elder abuse case management.</w:t>
      </w:r>
    </w:p>
    <w:p w14:paraId="14D811C4" w14:textId="568FF4D5" w:rsidR="00747D66" w:rsidRPr="004423DF" w:rsidRDefault="00747D66" w:rsidP="00E9682D">
      <w:pPr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The Case Management funding aims to harness the power of</w:t>
      </w:r>
      <w:r w:rsidR="00DF35BB" w:rsidRPr="004423DF">
        <w:rPr>
          <w:rFonts w:ascii="Arial" w:hAnsi="Arial" w:cs="Arial"/>
          <w:sz w:val="24"/>
          <w:szCs w:val="24"/>
        </w:rPr>
        <w:t xml:space="preserve"> existing</w:t>
      </w:r>
      <w:r w:rsidRPr="004423DF">
        <w:rPr>
          <w:rFonts w:ascii="Arial" w:hAnsi="Arial" w:cs="Arial"/>
          <w:sz w:val="24"/>
          <w:szCs w:val="24"/>
        </w:rPr>
        <w:t xml:space="preserve"> </w:t>
      </w:r>
      <w:r w:rsidR="002660F9" w:rsidRPr="004423DF">
        <w:rPr>
          <w:rFonts w:ascii="Arial" w:hAnsi="Arial" w:cs="Arial"/>
          <w:sz w:val="24"/>
          <w:szCs w:val="24"/>
        </w:rPr>
        <w:t>CCRs</w:t>
      </w:r>
      <w:r w:rsidRPr="004423DF">
        <w:rPr>
          <w:rFonts w:ascii="Arial" w:hAnsi="Arial" w:cs="Arial"/>
          <w:sz w:val="24"/>
          <w:szCs w:val="24"/>
        </w:rPr>
        <w:t xml:space="preserve"> to provide response services through case management to address elder abuse in communities throughout Alberta.</w:t>
      </w:r>
    </w:p>
    <w:p w14:paraId="402E5688" w14:textId="5D5CB9A7" w:rsidR="00013A33" w:rsidRPr="004423DF" w:rsidRDefault="00747D66" w:rsidP="00E9682D">
      <w:pPr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 xml:space="preserve">A key social issue, growing in complexity, is elder abuse.  </w:t>
      </w:r>
      <w:r w:rsidR="002660F9" w:rsidRPr="004423DF">
        <w:rPr>
          <w:rFonts w:ascii="Arial" w:hAnsi="Arial" w:cs="Arial"/>
          <w:sz w:val="24"/>
          <w:szCs w:val="24"/>
        </w:rPr>
        <w:t>C</w:t>
      </w:r>
      <w:r w:rsidRPr="004423DF">
        <w:rPr>
          <w:rFonts w:ascii="Arial" w:hAnsi="Arial" w:cs="Arial"/>
          <w:sz w:val="24"/>
          <w:szCs w:val="24"/>
        </w:rPr>
        <w:t xml:space="preserve">ommunities may not have the resources needed to respond and manage these complex cases.  </w:t>
      </w:r>
      <w:r w:rsidR="002F13C4">
        <w:rPr>
          <w:rFonts w:ascii="Arial" w:hAnsi="Arial" w:cs="Arial"/>
          <w:sz w:val="24"/>
          <w:szCs w:val="24"/>
        </w:rPr>
        <w:t>T</w:t>
      </w:r>
      <w:r w:rsidRPr="004423DF">
        <w:rPr>
          <w:rFonts w:ascii="Arial" w:hAnsi="Arial" w:cs="Arial"/>
          <w:sz w:val="24"/>
          <w:szCs w:val="24"/>
        </w:rPr>
        <w:t xml:space="preserve">his funding will support </w:t>
      </w:r>
      <w:r w:rsidR="002660F9" w:rsidRPr="004423DF">
        <w:rPr>
          <w:rFonts w:ascii="Arial" w:hAnsi="Arial" w:cs="Arial"/>
          <w:sz w:val="24"/>
          <w:szCs w:val="24"/>
        </w:rPr>
        <w:t xml:space="preserve">case management </w:t>
      </w:r>
      <w:r w:rsidRPr="004423DF">
        <w:rPr>
          <w:rFonts w:ascii="Arial" w:hAnsi="Arial" w:cs="Arial"/>
          <w:sz w:val="24"/>
          <w:szCs w:val="24"/>
        </w:rPr>
        <w:t xml:space="preserve">services </w:t>
      </w:r>
      <w:r w:rsidR="002660F9" w:rsidRPr="004423DF">
        <w:rPr>
          <w:rFonts w:ascii="Arial" w:hAnsi="Arial" w:cs="Arial"/>
          <w:sz w:val="24"/>
          <w:szCs w:val="24"/>
        </w:rPr>
        <w:t>provided through CCRs</w:t>
      </w:r>
      <w:r w:rsidRPr="004423DF">
        <w:rPr>
          <w:rFonts w:ascii="Arial" w:hAnsi="Arial" w:cs="Arial"/>
          <w:sz w:val="24"/>
          <w:szCs w:val="24"/>
        </w:rPr>
        <w:t xml:space="preserve"> and increase community capacity to address and prevent elder abuse.  </w:t>
      </w:r>
    </w:p>
    <w:p w14:paraId="3C738D7B" w14:textId="462B7441" w:rsidR="00DD1987" w:rsidRPr="004423DF" w:rsidRDefault="00DD1987" w:rsidP="00E9682D">
      <w:pPr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Deadline:</w:t>
      </w:r>
      <w:r w:rsidR="002F13C4">
        <w:rPr>
          <w:rFonts w:ascii="Arial" w:hAnsi="Arial" w:cs="Arial"/>
          <w:b/>
          <w:color w:val="7030A0"/>
          <w:sz w:val="24"/>
          <w:szCs w:val="24"/>
        </w:rPr>
        <w:t xml:space="preserve">  </w:t>
      </w:r>
      <w:r w:rsidRPr="004423DF">
        <w:rPr>
          <w:rFonts w:ascii="Arial" w:hAnsi="Arial" w:cs="Arial"/>
          <w:sz w:val="24"/>
          <w:szCs w:val="24"/>
        </w:rPr>
        <w:t xml:space="preserve">All applications and supporting documents </w:t>
      </w:r>
      <w:r w:rsidR="002F13C4">
        <w:rPr>
          <w:rFonts w:ascii="Arial" w:hAnsi="Arial" w:cs="Arial"/>
          <w:sz w:val="24"/>
          <w:szCs w:val="24"/>
        </w:rPr>
        <w:t>must be received</w:t>
      </w:r>
      <w:r w:rsidRPr="004423DF">
        <w:rPr>
          <w:rFonts w:ascii="Arial" w:hAnsi="Arial" w:cs="Arial"/>
          <w:sz w:val="24"/>
          <w:szCs w:val="24"/>
        </w:rPr>
        <w:t xml:space="preserve"> </w:t>
      </w:r>
      <w:r w:rsidR="002F13C4">
        <w:rPr>
          <w:rFonts w:ascii="Arial" w:hAnsi="Arial" w:cs="Arial"/>
          <w:sz w:val="24"/>
          <w:szCs w:val="24"/>
        </w:rPr>
        <w:t>by</w:t>
      </w:r>
      <w:r w:rsidRPr="004423DF">
        <w:rPr>
          <w:rFonts w:ascii="Arial" w:hAnsi="Arial" w:cs="Arial"/>
          <w:sz w:val="24"/>
          <w:szCs w:val="24"/>
        </w:rPr>
        <w:t xml:space="preserve"> 4:30 p.m. on </w:t>
      </w:r>
      <w:r w:rsidR="00401278">
        <w:rPr>
          <w:rFonts w:ascii="Arial" w:hAnsi="Arial" w:cs="Arial"/>
          <w:b/>
          <w:sz w:val="24"/>
          <w:szCs w:val="24"/>
        </w:rPr>
        <w:t xml:space="preserve">May </w:t>
      </w:r>
      <w:r w:rsidR="00EA609E">
        <w:rPr>
          <w:rFonts w:ascii="Arial" w:hAnsi="Arial" w:cs="Arial"/>
          <w:b/>
          <w:sz w:val="24"/>
          <w:szCs w:val="24"/>
        </w:rPr>
        <w:t>24, 2024</w:t>
      </w:r>
      <w:r w:rsidRPr="004423DF">
        <w:rPr>
          <w:rFonts w:ascii="Arial" w:hAnsi="Arial" w:cs="Arial"/>
          <w:sz w:val="24"/>
          <w:szCs w:val="24"/>
        </w:rPr>
        <w:t xml:space="preserve">. </w:t>
      </w:r>
    </w:p>
    <w:p w14:paraId="343C0816" w14:textId="50926536" w:rsidR="00DD1987" w:rsidRPr="004423DF" w:rsidRDefault="00DD1987" w:rsidP="00E9682D">
      <w:pPr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Funding:</w:t>
      </w:r>
      <w:r w:rsidRPr="004423DF">
        <w:rPr>
          <w:rFonts w:ascii="Arial" w:hAnsi="Arial" w:cs="Arial"/>
          <w:color w:val="7030A0"/>
          <w:sz w:val="24"/>
          <w:szCs w:val="24"/>
        </w:rPr>
        <w:t xml:space="preserve">  </w:t>
      </w:r>
      <w:r w:rsidRPr="004423DF">
        <w:rPr>
          <w:rFonts w:ascii="Arial" w:hAnsi="Arial" w:cs="Arial"/>
          <w:sz w:val="24"/>
          <w:szCs w:val="24"/>
        </w:rPr>
        <w:t xml:space="preserve">Approved applicants may receive funding </w:t>
      </w:r>
      <w:r w:rsidR="002F13C4">
        <w:rPr>
          <w:rFonts w:ascii="Arial" w:hAnsi="Arial" w:cs="Arial"/>
          <w:sz w:val="24"/>
          <w:szCs w:val="24"/>
        </w:rPr>
        <w:t xml:space="preserve">to a maximum of </w:t>
      </w:r>
      <w:r w:rsidRPr="004423DF">
        <w:rPr>
          <w:rFonts w:ascii="Arial" w:hAnsi="Arial" w:cs="Arial"/>
          <w:sz w:val="24"/>
          <w:szCs w:val="24"/>
        </w:rPr>
        <w:t xml:space="preserve">$50,000 for elder abuse case management services. </w:t>
      </w:r>
      <w:r w:rsidR="00131B9B">
        <w:rPr>
          <w:rFonts w:ascii="Arial" w:hAnsi="Arial" w:cs="Arial"/>
          <w:sz w:val="24"/>
          <w:szCs w:val="24"/>
        </w:rPr>
        <w:t>With the potential of an additional 2 years.</w:t>
      </w:r>
    </w:p>
    <w:p w14:paraId="4CBA8070" w14:textId="52A481D4" w:rsidR="009F7E75" w:rsidRPr="004423DF" w:rsidRDefault="002660F9" w:rsidP="00E9682D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 xml:space="preserve">Funding </w:t>
      </w:r>
      <w:r w:rsidR="009F7E75" w:rsidRPr="004423DF">
        <w:rPr>
          <w:rFonts w:ascii="Arial" w:hAnsi="Arial" w:cs="Arial"/>
          <w:b/>
          <w:color w:val="7030A0"/>
          <w:sz w:val="24"/>
          <w:szCs w:val="24"/>
        </w:rPr>
        <w:t>Goals</w:t>
      </w:r>
      <w:r w:rsidR="0090666B" w:rsidRPr="004423DF">
        <w:rPr>
          <w:rFonts w:ascii="Arial" w:hAnsi="Arial" w:cs="Arial"/>
          <w:b/>
          <w:color w:val="7030A0"/>
          <w:sz w:val="24"/>
          <w:szCs w:val="24"/>
        </w:rPr>
        <w:t>:</w:t>
      </w:r>
    </w:p>
    <w:p w14:paraId="29DE2B25" w14:textId="3B003D93" w:rsidR="009F7E75" w:rsidRPr="004423DF" w:rsidRDefault="009F7E75" w:rsidP="00E968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Improve access to support services for seniors</w:t>
      </w:r>
      <w:r w:rsidR="0090666B" w:rsidRPr="004423DF">
        <w:rPr>
          <w:rFonts w:ascii="Arial" w:hAnsi="Arial" w:cs="Arial"/>
          <w:sz w:val="24"/>
          <w:szCs w:val="24"/>
        </w:rPr>
        <w:t xml:space="preserve"> experiencing elder abuse</w:t>
      </w:r>
      <w:r w:rsidR="00DD1987" w:rsidRPr="004423DF">
        <w:rPr>
          <w:rFonts w:ascii="Arial" w:hAnsi="Arial" w:cs="Arial"/>
          <w:sz w:val="24"/>
          <w:szCs w:val="24"/>
        </w:rPr>
        <w:t>.</w:t>
      </w:r>
    </w:p>
    <w:p w14:paraId="56A1081A" w14:textId="7ED5DE60" w:rsidR="00A21CD2" w:rsidRPr="004423DF" w:rsidRDefault="002F13C4" w:rsidP="00356D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 a </w:t>
      </w:r>
      <w:r w:rsidR="00D06CE3" w:rsidRPr="004423DF">
        <w:rPr>
          <w:rFonts w:ascii="Arial" w:hAnsi="Arial" w:cs="Arial"/>
          <w:sz w:val="24"/>
          <w:szCs w:val="24"/>
        </w:rPr>
        <w:t>consistent approach to elde</w:t>
      </w:r>
      <w:r w:rsidR="00DD1987" w:rsidRPr="004423DF">
        <w:rPr>
          <w:rFonts w:ascii="Arial" w:hAnsi="Arial" w:cs="Arial"/>
          <w:sz w:val="24"/>
          <w:szCs w:val="24"/>
        </w:rPr>
        <w:t>r abuse data collection</w:t>
      </w:r>
      <w:r w:rsidR="00497BF1">
        <w:rPr>
          <w:rFonts w:ascii="Arial" w:hAnsi="Arial" w:cs="Arial"/>
          <w:sz w:val="24"/>
          <w:szCs w:val="24"/>
        </w:rPr>
        <w:t xml:space="preserve"> and case management practices.  Successful grant recipients will be required to participate in monthly </w:t>
      </w:r>
      <w:r w:rsidR="00F1118D">
        <w:rPr>
          <w:rFonts w:ascii="Arial" w:hAnsi="Arial" w:cs="Arial"/>
          <w:sz w:val="24"/>
          <w:szCs w:val="24"/>
        </w:rPr>
        <w:t xml:space="preserve">virtual meetings led by the AEAAC, as well as </w:t>
      </w:r>
      <w:r w:rsidR="00497BF1">
        <w:rPr>
          <w:rFonts w:ascii="Arial" w:hAnsi="Arial" w:cs="Arial"/>
          <w:sz w:val="24"/>
          <w:szCs w:val="24"/>
        </w:rPr>
        <w:t>p</w:t>
      </w:r>
      <w:r w:rsidR="00F1118D">
        <w:rPr>
          <w:rFonts w:ascii="Arial" w:hAnsi="Arial" w:cs="Arial"/>
          <w:sz w:val="24"/>
          <w:szCs w:val="24"/>
        </w:rPr>
        <w:t>rovide statistics and data using templates provided by the AEAAC.</w:t>
      </w:r>
    </w:p>
    <w:p w14:paraId="3D751A86" w14:textId="7993B40C" w:rsidR="00D06CE3" w:rsidRPr="004423DF" w:rsidRDefault="009F7E7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 xml:space="preserve">Enhance collaborative relationships </w:t>
      </w:r>
      <w:r w:rsidR="00E4114E" w:rsidRPr="004423DF">
        <w:rPr>
          <w:rFonts w:ascii="Arial" w:hAnsi="Arial" w:cs="Arial"/>
          <w:sz w:val="24"/>
          <w:szCs w:val="24"/>
        </w:rPr>
        <w:t xml:space="preserve">by </w:t>
      </w:r>
      <w:r w:rsidRPr="004423DF">
        <w:rPr>
          <w:rFonts w:ascii="Arial" w:hAnsi="Arial" w:cs="Arial"/>
          <w:sz w:val="24"/>
          <w:szCs w:val="24"/>
        </w:rPr>
        <w:t xml:space="preserve">leveraging existing resources to increase </w:t>
      </w:r>
      <w:r w:rsidR="0090666B" w:rsidRPr="004423DF">
        <w:rPr>
          <w:rFonts w:ascii="Arial" w:hAnsi="Arial" w:cs="Arial"/>
          <w:sz w:val="24"/>
          <w:szCs w:val="24"/>
        </w:rPr>
        <w:t xml:space="preserve">community </w:t>
      </w:r>
      <w:r w:rsidRPr="004423DF">
        <w:rPr>
          <w:rFonts w:ascii="Arial" w:hAnsi="Arial" w:cs="Arial"/>
          <w:sz w:val="24"/>
          <w:szCs w:val="24"/>
        </w:rPr>
        <w:t>capacity</w:t>
      </w:r>
      <w:r w:rsidR="0090666B" w:rsidRPr="004423DF">
        <w:rPr>
          <w:rFonts w:ascii="Arial" w:hAnsi="Arial" w:cs="Arial"/>
          <w:sz w:val="24"/>
          <w:szCs w:val="24"/>
        </w:rPr>
        <w:t xml:space="preserve"> to respond to incidents of elder abuse</w:t>
      </w:r>
      <w:r w:rsidR="00DD1987" w:rsidRPr="004423DF">
        <w:rPr>
          <w:rFonts w:ascii="Arial" w:hAnsi="Arial" w:cs="Arial"/>
          <w:sz w:val="24"/>
          <w:szCs w:val="24"/>
        </w:rPr>
        <w:t>.</w:t>
      </w:r>
    </w:p>
    <w:p w14:paraId="594A67DF" w14:textId="3ABF8006" w:rsidR="00DD1987" w:rsidRDefault="00361957" w:rsidP="00E9682D">
      <w:pPr>
        <w:pStyle w:val="ListParagraph"/>
        <w:numPr>
          <w:ilvl w:val="0"/>
          <w:numId w:val="3"/>
        </w:numPr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Validate the benefits</w:t>
      </w:r>
      <w:r w:rsidR="00DD1987" w:rsidRPr="004423DF">
        <w:rPr>
          <w:rFonts w:ascii="Arial" w:hAnsi="Arial" w:cs="Arial"/>
          <w:sz w:val="24"/>
          <w:szCs w:val="24"/>
        </w:rPr>
        <w:t xml:space="preserve"> of case management</w:t>
      </w:r>
      <w:r>
        <w:rPr>
          <w:rFonts w:ascii="Arial" w:hAnsi="Arial" w:cs="Arial"/>
          <w:sz w:val="24"/>
          <w:szCs w:val="24"/>
        </w:rPr>
        <w:t xml:space="preserve"> within a CCR</w:t>
      </w:r>
      <w:r w:rsidR="000235D4">
        <w:rPr>
          <w:rFonts w:ascii="Arial" w:hAnsi="Arial" w:cs="Arial"/>
          <w:sz w:val="24"/>
          <w:szCs w:val="24"/>
        </w:rPr>
        <w:t>.</w:t>
      </w:r>
    </w:p>
    <w:p w14:paraId="5F9F3F6B" w14:textId="1D655AF3" w:rsidR="000235D4" w:rsidRPr="004423DF" w:rsidRDefault="000235D4" w:rsidP="00E9682D">
      <w:pPr>
        <w:pStyle w:val="ListParagraph"/>
        <w:numPr>
          <w:ilvl w:val="0"/>
          <w:numId w:val="3"/>
        </w:numPr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grant recipients to develop sustainability plans and identify funding dollars.</w:t>
      </w:r>
    </w:p>
    <w:p w14:paraId="0D0D28F0" w14:textId="69447314" w:rsidR="009F7E75" w:rsidRPr="004423DF" w:rsidRDefault="004423DF" w:rsidP="00E968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Initiative</w:t>
      </w:r>
      <w:r w:rsidR="009F7E75" w:rsidRPr="004423DF">
        <w:rPr>
          <w:rFonts w:ascii="Arial" w:hAnsi="Arial" w:cs="Arial"/>
          <w:b/>
          <w:color w:val="7030A0"/>
          <w:sz w:val="24"/>
          <w:szCs w:val="24"/>
        </w:rPr>
        <w:t xml:space="preserve"> Length</w:t>
      </w:r>
      <w:r w:rsidR="009F7E75" w:rsidRPr="004423DF">
        <w:rPr>
          <w:rFonts w:ascii="Arial" w:hAnsi="Arial" w:cs="Arial"/>
          <w:color w:val="7030A0"/>
          <w:sz w:val="24"/>
          <w:szCs w:val="24"/>
        </w:rPr>
        <w:t xml:space="preserve">:  </w:t>
      </w:r>
      <w:r w:rsidR="000235D4">
        <w:rPr>
          <w:rFonts w:ascii="Arial" w:hAnsi="Arial" w:cs="Arial"/>
          <w:sz w:val="24"/>
          <w:szCs w:val="24"/>
        </w:rPr>
        <w:t>Up to 12 months</w:t>
      </w:r>
      <w:r w:rsidR="00C826B3">
        <w:rPr>
          <w:rFonts w:ascii="Arial" w:hAnsi="Arial" w:cs="Arial"/>
          <w:sz w:val="24"/>
          <w:szCs w:val="24"/>
        </w:rPr>
        <w:t xml:space="preserve">, with the potential for additional </w:t>
      </w:r>
      <w:r w:rsidR="00A73CF9">
        <w:rPr>
          <w:rFonts w:ascii="Arial" w:hAnsi="Arial" w:cs="Arial"/>
          <w:sz w:val="24"/>
          <w:szCs w:val="24"/>
        </w:rPr>
        <w:t>2 years</w:t>
      </w:r>
    </w:p>
    <w:p w14:paraId="15F0DC42" w14:textId="0302D7C8" w:rsidR="00DF06BC" w:rsidRDefault="007B6276" w:rsidP="00DF06BC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Letters of Commitment</w:t>
      </w:r>
      <w:r w:rsidRPr="004423DF">
        <w:rPr>
          <w:rFonts w:ascii="Arial" w:hAnsi="Arial" w:cs="Arial"/>
          <w:sz w:val="24"/>
          <w:szCs w:val="24"/>
        </w:rPr>
        <w:t xml:space="preserve">:  </w:t>
      </w:r>
      <w:r w:rsidR="003A48D9" w:rsidRPr="004423DF">
        <w:rPr>
          <w:rFonts w:ascii="Arial" w:hAnsi="Arial" w:cs="Arial"/>
          <w:sz w:val="24"/>
          <w:szCs w:val="24"/>
        </w:rPr>
        <w:t>T</w:t>
      </w:r>
      <w:r w:rsidR="00A73CF9">
        <w:rPr>
          <w:rFonts w:ascii="Arial" w:hAnsi="Arial" w:cs="Arial"/>
          <w:sz w:val="24"/>
          <w:szCs w:val="24"/>
        </w:rPr>
        <w:t>wo</w:t>
      </w:r>
      <w:r w:rsidR="003A48D9" w:rsidRPr="004423DF">
        <w:rPr>
          <w:rFonts w:ascii="Arial" w:hAnsi="Arial" w:cs="Arial"/>
          <w:sz w:val="24"/>
          <w:szCs w:val="24"/>
        </w:rPr>
        <w:t xml:space="preserve"> Letters of Commitment are required.  </w:t>
      </w:r>
      <w:r w:rsidR="000235D4">
        <w:rPr>
          <w:rFonts w:ascii="Arial" w:hAnsi="Arial" w:cs="Arial"/>
          <w:sz w:val="24"/>
          <w:szCs w:val="24"/>
        </w:rPr>
        <w:t xml:space="preserve">If this initiative is a regional approach including more than one CCR, a letter of commitment from each CCR participating must be included.  </w:t>
      </w:r>
      <w:r w:rsidRPr="004423DF">
        <w:rPr>
          <w:rFonts w:ascii="Arial" w:hAnsi="Arial" w:cs="Arial"/>
          <w:sz w:val="24"/>
          <w:szCs w:val="24"/>
        </w:rPr>
        <w:t xml:space="preserve">Letters of commitment are different from letters of support.  Letters of commitment should indicate the role </w:t>
      </w:r>
      <w:r w:rsidR="00361957">
        <w:rPr>
          <w:rFonts w:ascii="Arial" w:hAnsi="Arial" w:cs="Arial"/>
          <w:sz w:val="24"/>
          <w:szCs w:val="24"/>
        </w:rPr>
        <w:t xml:space="preserve">of the organization within the CCR, their specific </w:t>
      </w:r>
      <w:r w:rsidRPr="004423DF">
        <w:rPr>
          <w:rFonts w:ascii="Arial" w:hAnsi="Arial" w:cs="Arial"/>
          <w:sz w:val="24"/>
          <w:szCs w:val="24"/>
        </w:rPr>
        <w:t>contribution</w:t>
      </w:r>
      <w:r w:rsidR="00361957">
        <w:rPr>
          <w:rFonts w:ascii="Arial" w:hAnsi="Arial" w:cs="Arial"/>
          <w:sz w:val="24"/>
          <w:szCs w:val="24"/>
        </w:rPr>
        <w:t>s</w:t>
      </w:r>
      <w:r w:rsidRPr="004423DF">
        <w:rPr>
          <w:rFonts w:ascii="Arial" w:hAnsi="Arial" w:cs="Arial"/>
          <w:sz w:val="24"/>
          <w:szCs w:val="24"/>
        </w:rPr>
        <w:t xml:space="preserve"> to th</w:t>
      </w:r>
      <w:r w:rsidR="00361957">
        <w:rPr>
          <w:rFonts w:ascii="Arial" w:hAnsi="Arial" w:cs="Arial"/>
          <w:sz w:val="24"/>
          <w:szCs w:val="24"/>
        </w:rPr>
        <w:t>is</w:t>
      </w:r>
      <w:r w:rsidRPr="004423DF">
        <w:rPr>
          <w:rFonts w:ascii="Arial" w:hAnsi="Arial" w:cs="Arial"/>
          <w:sz w:val="24"/>
          <w:szCs w:val="24"/>
        </w:rPr>
        <w:t xml:space="preserve"> </w:t>
      </w:r>
      <w:r w:rsidR="004423DF">
        <w:rPr>
          <w:rFonts w:ascii="Arial" w:hAnsi="Arial" w:cs="Arial"/>
          <w:sz w:val="24"/>
          <w:szCs w:val="24"/>
        </w:rPr>
        <w:t>initiative</w:t>
      </w:r>
      <w:r w:rsidR="00DD1987" w:rsidRPr="004423DF">
        <w:rPr>
          <w:rFonts w:ascii="Arial" w:hAnsi="Arial" w:cs="Arial"/>
          <w:sz w:val="24"/>
          <w:szCs w:val="24"/>
        </w:rPr>
        <w:t xml:space="preserve"> including in-kind and</w:t>
      </w:r>
      <w:r w:rsidRPr="004423DF">
        <w:rPr>
          <w:rFonts w:ascii="Arial" w:hAnsi="Arial" w:cs="Arial"/>
          <w:sz w:val="24"/>
          <w:szCs w:val="24"/>
        </w:rPr>
        <w:t xml:space="preserve"> monetary support, or other investments</w:t>
      </w:r>
      <w:r w:rsidR="00DD1987" w:rsidRPr="004423DF">
        <w:rPr>
          <w:rFonts w:ascii="Arial" w:hAnsi="Arial" w:cs="Arial"/>
          <w:sz w:val="24"/>
          <w:szCs w:val="24"/>
        </w:rPr>
        <w:t xml:space="preserve"> the organization contributes</w:t>
      </w:r>
      <w:r w:rsidRPr="004423DF">
        <w:rPr>
          <w:rFonts w:ascii="Arial" w:hAnsi="Arial" w:cs="Arial"/>
          <w:sz w:val="24"/>
          <w:szCs w:val="24"/>
        </w:rPr>
        <w:t>.</w:t>
      </w:r>
      <w:r w:rsidR="003A48D9" w:rsidRPr="004423DF">
        <w:rPr>
          <w:rFonts w:ascii="Arial" w:hAnsi="Arial" w:cs="Arial"/>
          <w:sz w:val="24"/>
          <w:szCs w:val="24"/>
        </w:rPr>
        <w:t xml:space="preserve"> </w:t>
      </w:r>
    </w:p>
    <w:p w14:paraId="572DD539" w14:textId="77777777" w:rsidR="000745ED" w:rsidRDefault="000745ED" w:rsidP="00DF06BC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14:paraId="4CE82D6B" w14:textId="2E95D244" w:rsidR="009F7E75" w:rsidRPr="004423DF" w:rsidRDefault="004423DF" w:rsidP="00DF06BC">
      <w:pPr>
        <w:widowControl w:val="0"/>
        <w:spacing w:line="240" w:lineRule="auto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Who C</w:t>
      </w:r>
      <w:r w:rsidR="0010028F" w:rsidRPr="004423DF">
        <w:rPr>
          <w:rFonts w:ascii="Arial" w:hAnsi="Arial" w:cs="Arial"/>
          <w:b/>
          <w:color w:val="7030A0"/>
          <w:sz w:val="24"/>
          <w:szCs w:val="24"/>
        </w:rPr>
        <w:t>an Apply</w:t>
      </w:r>
      <w:r w:rsidR="0090666B" w:rsidRPr="004423DF">
        <w:rPr>
          <w:rFonts w:ascii="Arial" w:hAnsi="Arial" w:cs="Arial"/>
          <w:b/>
          <w:color w:val="7030A0"/>
          <w:sz w:val="24"/>
          <w:szCs w:val="24"/>
        </w:rPr>
        <w:t>:</w:t>
      </w:r>
    </w:p>
    <w:p w14:paraId="65149385" w14:textId="656ACCEB" w:rsidR="000745ED" w:rsidRDefault="00342DC5" w:rsidP="00E9682D">
      <w:pPr>
        <w:pStyle w:val="ListParagraph"/>
        <w:widowControl w:val="0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Existing CCRs in Alberta</w:t>
      </w:r>
      <w:r w:rsidR="00D06CE3" w:rsidRPr="004423DF">
        <w:rPr>
          <w:rFonts w:ascii="Arial" w:hAnsi="Arial" w:cs="Arial"/>
          <w:sz w:val="24"/>
          <w:szCs w:val="24"/>
        </w:rPr>
        <w:t xml:space="preserve"> that previously received funding under the Taking Action Against Elder Abuse CCR Grant Program. </w:t>
      </w:r>
      <w:r w:rsidR="000745ED">
        <w:rPr>
          <w:rFonts w:ascii="Arial" w:hAnsi="Arial" w:cs="Arial"/>
          <w:sz w:val="24"/>
          <w:szCs w:val="24"/>
        </w:rPr>
        <w:t>As well newly developing</w:t>
      </w:r>
      <w:r w:rsidR="00072DEC">
        <w:rPr>
          <w:rFonts w:ascii="Arial" w:hAnsi="Arial" w:cs="Arial"/>
          <w:sz w:val="24"/>
          <w:szCs w:val="24"/>
        </w:rPr>
        <w:t>,</w:t>
      </w:r>
    </w:p>
    <w:p w14:paraId="61541ADB" w14:textId="50137960" w:rsidR="003A48D9" w:rsidRPr="004423DF" w:rsidRDefault="00072DEC" w:rsidP="000745ED">
      <w:pPr>
        <w:pStyle w:val="ListParagraph"/>
        <w:widowControl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745ED">
        <w:rPr>
          <w:rFonts w:ascii="Arial" w:hAnsi="Arial" w:cs="Arial"/>
          <w:sz w:val="24"/>
          <w:szCs w:val="24"/>
        </w:rPr>
        <w:t>oordinated community response groups.</w:t>
      </w:r>
      <w:r w:rsidR="00D06CE3" w:rsidRPr="004423DF">
        <w:rPr>
          <w:rFonts w:ascii="Arial" w:hAnsi="Arial" w:cs="Arial"/>
          <w:sz w:val="24"/>
          <w:szCs w:val="24"/>
        </w:rPr>
        <w:t xml:space="preserve"> </w:t>
      </w:r>
    </w:p>
    <w:p w14:paraId="369FE987" w14:textId="30090BAA" w:rsidR="003A48D9" w:rsidRPr="004423DF" w:rsidRDefault="003A48D9" w:rsidP="00E9682D">
      <w:pPr>
        <w:pStyle w:val="ListParagraph"/>
        <w:widowControl w:val="0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Priority will be given to regional approaches for a case manager position that serves more than one CCR area.</w:t>
      </w:r>
    </w:p>
    <w:p w14:paraId="61A00590" w14:textId="7786D8BF" w:rsidR="007B6276" w:rsidRPr="004423DF" w:rsidRDefault="00DC7584" w:rsidP="00E9682D">
      <w:pPr>
        <w:pStyle w:val="ListParagraph"/>
        <w:widowControl w:val="0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 xml:space="preserve">Funding will be provided for new </w:t>
      </w:r>
      <w:r w:rsidR="00342DC5" w:rsidRPr="004423DF">
        <w:rPr>
          <w:rFonts w:ascii="Arial" w:hAnsi="Arial" w:cs="Arial"/>
          <w:sz w:val="24"/>
          <w:szCs w:val="24"/>
        </w:rPr>
        <w:t>or enhanced c</w:t>
      </w:r>
      <w:r w:rsidRPr="004423DF">
        <w:rPr>
          <w:rFonts w:ascii="Arial" w:hAnsi="Arial" w:cs="Arial"/>
          <w:sz w:val="24"/>
          <w:szCs w:val="24"/>
        </w:rPr>
        <w:t xml:space="preserve">ase </w:t>
      </w:r>
      <w:r w:rsidR="00342DC5" w:rsidRPr="004423DF">
        <w:rPr>
          <w:rFonts w:ascii="Arial" w:hAnsi="Arial" w:cs="Arial"/>
          <w:sz w:val="24"/>
          <w:szCs w:val="24"/>
        </w:rPr>
        <w:t>m</w:t>
      </w:r>
      <w:r w:rsidRPr="004423DF">
        <w:rPr>
          <w:rFonts w:ascii="Arial" w:hAnsi="Arial" w:cs="Arial"/>
          <w:sz w:val="24"/>
          <w:szCs w:val="24"/>
        </w:rPr>
        <w:t>anager positions</w:t>
      </w:r>
      <w:r w:rsidR="00847C01" w:rsidRPr="004423DF">
        <w:rPr>
          <w:rFonts w:ascii="Arial" w:hAnsi="Arial" w:cs="Arial"/>
          <w:sz w:val="24"/>
          <w:szCs w:val="24"/>
        </w:rPr>
        <w:t xml:space="preserve">.  </w:t>
      </w:r>
      <w:r w:rsidR="000D32BB" w:rsidRPr="004423DF">
        <w:rPr>
          <w:rFonts w:ascii="Arial" w:hAnsi="Arial" w:cs="Arial"/>
          <w:sz w:val="24"/>
          <w:szCs w:val="24"/>
        </w:rPr>
        <w:t xml:space="preserve">Eligible </w:t>
      </w:r>
      <w:r w:rsidR="004423DF">
        <w:rPr>
          <w:rFonts w:ascii="Arial" w:hAnsi="Arial" w:cs="Arial"/>
          <w:sz w:val="24"/>
          <w:szCs w:val="24"/>
        </w:rPr>
        <w:t>initiative</w:t>
      </w:r>
      <w:r w:rsidR="000D32BB" w:rsidRPr="004423DF">
        <w:rPr>
          <w:rFonts w:ascii="Arial" w:hAnsi="Arial" w:cs="Arial"/>
          <w:sz w:val="24"/>
          <w:szCs w:val="24"/>
        </w:rPr>
        <w:t>s could include</w:t>
      </w:r>
      <w:r w:rsidR="007B6276" w:rsidRPr="004423DF">
        <w:rPr>
          <w:rFonts w:ascii="Arial" w:hAnsi="Arial" w:cs="Arial"/>
          <w:sz w:val="24"/>
          <w:szCs w:val="24"/>
        </w:rPr>
        <w:t>:</w:t>
      </w:r>
    </w:p>
    <w:p w14:paraId="49FD0BD7" w14:textId="7AC43CB9" w:rsidR="007B6276" w:rsidRPr="004423DF" w:rsidRDefault="00F1118D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case manager </w:t>
      </w:r>
      <w:r w:rsidR="00CD3E8A">
        <w:rPr>
          <w:rFonts w:ascii="Arial" w:hAnsi="Arial" w:cs="Arial"/>
          <w:sz w:val="24"/>
          <w:szCs w:val="24"/>
        </w:rPr>
        <w:t>position or</w:t>
      </w:r>
      <w:r>
        <w:rPr>
          <w:rFonts w:ascii="Arial" w:hAnsi="Arial" w:cs="Arial"/>
          <w:sz w:val="24"/>
          <w:szCs w:val="24"/>
        </w:rPr>
        <w:t xml:space="preserve"> expanding a</w:t>
      </w:r>
      <w:r w:rsidR="000D32BB" w:rsidRPr="004423DF">
        <w:rPr>
          <w:rFonts w:ascii="Arial" w:hAnsi="Arial" w:cs="Arial"/>
          <w:sz w:val="24"/>
          <w:szCs w:val="24"/>
        </w:rPr>
        <w:t>n existing half-</w:t>
      </w:r>
      <w:r w:rsidR="007B6276" w:rsidRPr="004423DF">
        <w:rPr>
          <w:rFonts w:ascii="Arial" w:hAnsi="Arial" w:cs="Arial"/>
          <w:sz w:val="24"/>
          <w:szCs w:val="24"/>
        </w:rPr>
        <w:t>time role to a full-time role</w:t>
      </w:r>
      <w:r w:rsidR="00361957">
        <w:rPr>
          <w:rFonts w:ascii="Arial" w:hAnsi="Arial" w:cs="Arial"/>
          <w:sz w:val="24"/>
          <w:szCs w:val="24"/>
        </w:rPr>
        <w:t>.</w:t>
      </w:r>
    </w:p>
    <w:p w14:paraId="2EBEC6D3" w14:textId="5253B2A9" w:rsidR="007B6276" w:rsidRPr="004423DF" w:rsidRDefault="007B6276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E</w:t>
      </w:r>
      <w:r w:rsidR="000D32BB" w:rsidRPr="004423DF">
        <w:rPr>
          <w:rFonts w:ascii="Arial" w:hAnsi="Arial" w:cs="Arial"/>
          <w:sz w:val="24"/>
          <w:szCs w:val="24"/>
        </w:rPr>
        <w:t xml:space="preserve">xpanding from having one case manager to serve a single community to hiring a second case manager to service </w:t>
      </w:r>
      <w:r w:rsidRPr="004423DF">
        <w:rPr>
          <w:rFonts w:ascii="Arial" w:hAnsi="Arial" w:cs="Arial"/>
          <w:sz w:val="24"/>
          <w:szCs w:val="24"/>
        </w:rPr>
        <w:t>a region</w:t>
      </w:r>
      <w:r w:rsidR="00361957">
        <w:rPr>
          <w:rFonts w:ascii="Arial" w:hAnsi="Arial" w:cs="Arial"/>
          <w:sz w:val="24"/>
          <w:szCs w:val="24"/>
        </w:rPr>
        <w:t>.</w:t>
      </w:r>
      <w:r w:rsidRPr="004423DF">
        <w:rPr>
          <w:rFonts w:ascii="Arial" w:hAnsi="Arial" w:cs="Arial"/>
          <w:sz w:val="24"/>
          <w:szCs w:val="24"/>
        </w:rPr>
        <w:t xml:space="preserve"> </w:t>
      </w:r>
    </w:p>
    <w:p w14:paraId="52E63A1D" w14:textId="79D9BA1B" w:rsidR="0010028F" w:rsidRPr="004423DF" w:rsidRDefault="0010028F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 xml:space="preserve">This funding is not intended to replace existing funding for a position already doing this work.  </w:t>
      </w:r>
    </w:p>
    <w:p w14:paraId="2FB17C3B" w14:textId="77777777" w:rsidR="00342DC5" w:rsidRPr="004423DF" w:rsidRDefault="00342DC5" w:rsidP="00E9682D">
      <w:pPr>
        <w:pStyle w:val="ListParagraph"/>
        <w:widowControl w:val="0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The primary applicant must be a:</w:t>
      </w:r>
    </w:p>
    <w:p w14:paraId="25BB1F6B" w14:textId="5EBD7DFD" w:rsidR="00342DC5" w:rsidRPr="004423DF" w:rsidRDefault="00342DC5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Non-profit group registered under the Society’s Act</w:t>
      </w:r>
    </w:p>
    <w:p w14:paraId="71DA2340" w14:textId="5004C964" w:rsidR="00342DC5" w:rsidRPr="004423DF" w:rsidRDefault="00A21CD2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M</w:t>
      </w:r>
      <w:r w:rsidR="00342DC5" w:rsidRPr="004423DF">
        <w:rPr>
          <w:rFonts w:ascii="Arial" w:hAnsi="Arial" w:cs="Arial"/>
          <w:sz w:val="24"/>
          <w:szCs w:val="24"/>
        </w:rPr>
        <w:t>unicipality</w:t>
      </w:r>
    </w:p>
    <w:p w14:paraId="66B42755" w14:textId="6A5A6FC7" w:rsidR="00342DC5" w:rsidRPr="004423DF" w:rsidRDefault="00342DC5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First Nation or Metis Settlement</w:t>
      </w:r>
    </w:p>
    <w:p w14:paraId="10AFA70D" w14:textId="67ECFFDF" w:rsidR="00342DC5" w:rsidRPr="004423DF" w:rsidRDefault="00A21CD2" w:rsidP="00E9682D">
      <w:pPr>
        <w:pStyle w:val="ListParagraph"/>
        <w:widowControl w:val="0"/>
        <w:numPr>
          <w:ilvl w:val="1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L</w:t>
      </w:r>
      <w:r w:rsidR="00342DC5" w:rsidRPr="004423DF">
        <w:rPr>
          <w:rFonts w:ascii="Arial" w:hAnsi="Arial" w:cs="Arial"/>
          <w:sz w:val="24"/>
          <w:szCs w:val="24"/>
        </w:rPr>
        <w:t>ocal chapter of a provincial or federal non-profit group</w:t>
      </w:r>
    </w:p>
    <w:p w14:paraId="668FE13B" w14:textId="51E85744" w:rsidR="009F7E75" w:rsidRPr="004423DF" w:rsidRDefault="009F7E75" w:rsidP="00E9682D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 xml:space="preserve">Eligible </w:t>
      </w:r>
      <w:r w:rsidR="004423DF">
        <w:rPr>
          <w:rFonts w:ascii="Arial" w:hAnsi="Arial" w:cs="Arial"/>
          <w:b/>
          <w:color w:val="7030A0"/>
          <w:sz w:val="24"/>
          <w:szCs w:val="24"/>
        </w:rPr>
        <w:t>Initiative</w:t>
      </w:r>
      <w:r w:rsidRPr="004423DF">
        <w:rPr>
          <w:rFonts w:ascii="Arial" w:hAnsi="Arial" w:cs="Arial"/>
          <w:b/>
          <w:color w:val="7030A0"/>
          <w:sz w:val="24"/>
          <w:szCs w:val="24"/>
        </w:rPr>
        <w:t>s</w:t>
      </w:r>
      <w:r w:rsidR="0090666B" w:rsidRPr="004423DF">
        <w:rPr>
          <w:rFonts w:ascii="Arial" w:hAnsi="Arial" w:cs="Arial"/>
          <w:b/>
          <w:color w:val="7030A0"/>
          <w:sz w:val="24"/>
          <w:szCs w:val="24"/>
        </w:rPr>
        <w:t>:</w:t>
      </w:r>
      <w:r w:rsidR="0090666B" w:rsidRPr="004423DF">
        <w:rPr>
          <w:rFonts w:ascii="Arial" w:hAnsi="Arial" w:cs="Arial"/>
          <w:color w:val="7030A0"/>
          <w:sz w:val="24"/>
          <w:szCs w:val="24"/>
        </w:rPr>
        <w:t xml:space="preserve">  </w:t>
      </w:r>
      <w:r w:rsidR="0090666B" w:rsidRPr="004423DF">
        <w:rPr>
          <w:rFonts w:ascii="Arial" w:hAnsi="Arial" w:cs="Arial"/>
          <w:sz w:val="24"/>
          <w:szCs w:val="24"/>
        </w:rPr>
        <w:t>Position</w:t>
      </w:r>
      <w:r w:rsidR="009651B8" w:rsidRPr="004423DF">
        <w:rPr>
          <w:rFonts w:ascii="Arial" w:hAnsi="Arial" w:cs="Arial"/>
          <w:sz w:val="24"/>
          <w:szCs w:val="24"/>
        </w:rPr>
        <w:t xml:space="preserve">s that provide elder abuse case </w:t>
      </w:r>
      <w:r w:rsidR="0090666B" w:rsidRPr="004423DF">
        <w:rPr>
          <w:rFonts w:ascii="Arial" w:hAnsi="Arial" w:cs="Arial"/>
          <w:sz w:val="24"/>
          <w:szCs w:val="24"/>
        </w:rPr>
        <w:t>management services, education</w:t>
      </w:r>
      <w:r w:rsidR="009651B8" w:rsidRPr="004423DF">
        <w:rPr>
          <w:rFonts w:ascii="Arial" w:hAnsi="Arial" w:cs="Arial"/>
          <w:sz w:val="24"/>
          <w:szCs w:val="24"/>
        </w:rPr>
        <w:t>,</w:t>
      </w:r>
      <w:r w:rsidR="0090666B" w:rsidRPr="004423DF">
        <w:rPr>
          <w:rFonts w:ascii="Arial" w:hAnsi="Arial" w:cs="Arial"/>
          <w:sz w:val="24"/>
          <w:szCs w:val="24"/>
        </w:rPr>
        <w:t xml:space="preserve"> and awarenes</w:t>
      </w:r>
      <w:r w:rsidR="009651B8" w:rsidRPr="004423DF">
        <w:rPr>
          <w:rFonts w:ascii="Arial" w:hAnsi="Arial" w:cs="Arial"/>
          <w:sz w:val="24"/>
          <w:szCs w:val="24"/>
        </w:rPr>
        <w:t>s</w:t>
      </w:r>
      <w:r w:rsidR="00361957">
        <w:rPr>
          <w:rFonts w:ascii="Arial" w:hAnsi="Arial" w:cs="Arial"/>
          <w:sz w:val="24"/>
          <w:szCs w:val="24"/>
        </w:rPr>
        <w:t>-</w:t>
      </w:r>
      <w:r w:rsidR="009651B8" w:rsidRPr="004423DF">
        <w:rPr>
          <w:rFonts w:ascii="Arial" w:hAnsi="Arial" w:cs="Arial"/>
          <w:sz w:val="24"/>
          <w:szCs w:val="24"/>
        </w:rPr>
        <w:t>raising about</w:t>
      </w:r>
      <w:r w:rsidR="00A21CD2" w:rsidRPr="004423DF">
        <w:rPr>
          <w:rFonts w:ascii="Arial" w:hAnsi="Arial" w:cs="Arial"/>
          <w:sz w:val="24"/>
          <w:szCs w:val="24"/>
        </w:rPr>
        <w:t xml:space="preserve"> the case manager position and</w:t>
      </w:r>
      <w:r w:rsidR="009651B8" w:rsidRPr="004423DF">
        <w:rPr>
          <w:rFonts w:ascii="Arial" w:hAnsi="Arial" w:cs="Arial"/>
          <w:sz w:val="24"/>
          <w:szCs w:val="24"/>
        </w:rPr>
        <w:t xml:space="preserve"> elder abuse</w:t>
      </w:r>
      <w:r w:rsidR="00A21CD2" w:rsidRPr="004423DF">
        <w:rPr>
          <w:rFonts w:ascii="Arial" w:hAnsi="Arial" w:cs="Arial"/>
          <w:sz w:val="24"/>
          <w:szCs w:val="24"/>
        </w:rPr>
        <w:t>.</w:t>
      </w:r>
    </w:p>
    <w:p w14:paraId="38C08C78" w14:textId="29471F30" w:rsidR="009F7E75" w:rsidRPr="004423DF" w:rsidRDefault="009F7E75" w:rsidP="00E9682D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 xml:space="preserve">Ineligible </w:t>
      </w:r>
      <w:r w:rsidR="004423DF">
        <w:rPr>
          <w:rFonts w:ascii="Arial" w:hAnsi="Arial" w:cs="Arial"/>
          <w:b/>
          <w:color w:val="7030A0"/>
          <w:sz w:val="24"/>
          <w:szCs w:val="24"/>
        </w:rPr>
        <w:t>Initiative</w:t>
      </w:r>
      <w:r w:rsidRPr="004423DF">
        <w:rPr>
          <w:rFonts w:ascii="Arial" w:hAnsi="Arial" w:cs="Arial"/>
          <w:b/>
          <w:color w:val="7030A0"/>
          <w:sz w:val="24"/>
          <w:szCs w:val="24"/>
        </w:rPr>
        <w:t>s</w:t>
      </w:r>
      <w:r w:rsidR="0090666B" w:rsidRPr="004423DF">
        <w:rPr>
          <w:rFonts w:ascii="Arial" w:hAnsi="Arial" w:cs="Arial"/>
          <w:b/>
          <w:color w:val="7030A0"/>
          <w:sz w:val="24"/>
          <w:szCs w:val="24"/>
        </w:rPr>
        <w:t>:</w:t>
      </w:r>
      <w:r w:rsidR="0090666B" w:rsidRPr="004423DF">
        <w:rPr>
          <w:rFonts w:ascii="Arial" w:hAnsi="Arial" w:cs="Arial"/>
          <w:color w:val="7030A0"/>
          <w:sz w:val="24"/>
          <w:szCs w:val="24"/>
        </w:rPr>
        <w:t xml:space="preserve">  </w:t>
      </w:r>
      <w:r w:rsidR="00F1118D" w:rsidRPr="00E9682D">
        <w:rPr>
          <w:rFonts w:ascii="Arial" w:hAnsi="Arial" w:cs="Arial"/>
          <w:sz w:val="24"/>
          <w:szCs w:val="24"/>
        </w:rPr>
        <w:t xml:space="preserve">Initiatives </w:t>
      </w:r>
      <w:r w:rsidR="0090666B" w:rsidRPr="004423DF">
        <w:rPr>
          <w:rFonts w:ascii="Arial" w:hAnsi="Arial" w:cs="Arial"/>
          <w:sz w:val="24"/>
          <w:szCs w:val="24"/>
        </w:rPr>
        <w:t xml:space="preserve">that work to address </w:t>
      </w:r>
      <w:r w:rsidR="0090666B" w:rsidRPr="004423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frauds and scams, self-neglect, </w:t>
      </w:r>
      <w:r w:rsidR="003619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or </w:t>
      </w:r>
      <w:r w:rsidR="0090666B" w:rsidRPr="004423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abuse occurring within a facility that falls under the </w:t>
      </w:r>
      <w:r w:rsidR="0090666B" w:rsidRPr="00E9682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Protection for Persons in Care Act</w:t>
      </w:r>
      <w:r w:rsidR="00A21CD2" w:rsidRPr="00E9682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</w:p>
    <w:p w14:paraId="658CE92F" w14:textId="6E6719EA" w:rsidR="002E598B" w:rsidRPr="004423DF" w:rsidRDefault="002E598B" w:rsidP="00E968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Eligible Expenses</w:t>
      </w:r>
      <w:r w:rsidR="002F13C4">
        <w:rPr>
          <w:rFonts w:ascii="Arial" w:hAnsi="Arial" w:cs="Arial"/>
          <w:b/>
          <w:color w:val="7030A0"/>
          <w:sz w:val="24"/>
          <w:szCs w:val="24"/>
        </w:rPr>
        <w:t>:</w:t>
      </w:r>
      <w:r w:rsidR="00361957">
        <w:rPr>
          <w:rFonts w:ascii="Arial" w:hAnsi="Arial" w:cs="Arial"/>
          <w:sz w:val="24"/>
          <w:szCs w:val="24"/>
        </w:rPr>
        <w:t xml:space="preserve">  E</w:t>
      </w:r>
      <w:r w:rsidRPr="004423DF">
        <w:rPr>
          <w:rFonts w:ascii="Arial" w:hAnsi="Arial" w:cs="Arial"/>
          <w:sz w:val="24"/>
          <w:szCs w:val="24"/>
        </w:rPr>
        <w:t xml:space="preserve">xpenses </w:t>
      </w:r>
      <w:r w:rsidR="00361957">
        <w:rPr>
          <w:rFonts w:ascii="Arial" w:hAnsi="Arial" w:cs="Arial"/>
          <w:sz w:val="24"/>
          <w:szCs w:val="24"/>
        </w:rPr>
        <w:t xml:space="preserve">must be directly related to the </w:t>
      </w:r>
      <w:r w:rsidR="004423DF">
        <w:rPr>
          <w:rFonts w:ascii="Arial" w:hAnsi="Arial" w:cs="Arial"/>
          <w:sz w:val="24"/>
          <w:szCs w:val="24"/>
        </w:rPr>
        <w:t>initiative</w:t>
      </w:r>
      <w:r w:rsidRPr="004423DF">
        <w:rPr>
          <w:rFonts w:ascii="Arial" w:hAnsi="Arial" w:cs="Arial"/>
          <w:sz w:val="24"/>
          <w:szCs w:val="24"/>
        </w:rPr>
        <w:t xml:space="preserve">. </w:t>
      </w:r>
      <w:r w:rsidR="00497BF1">
        <w:rPr>
          <w:rFonts w:ascii="Arial" w:hAnsi="Arial" w:cs="Arial"/>
          <w:sz w:val="24"/>
          <w:szCs w:val="24"/>
        </w:rPr>
        <w:t xml:space="preserve">Detailed estimates of all expenditures must be provided in the </w:t>
      </w:r>
      <w:r w:rsidR="00497BF1" w:rsidRPr="00E9682D">
        <w:rPr>
          <w:rFonts w:ascii="Arial" w:hAnsi="Arial" w:cs="Arial"/>
          <w:i/>
          <w:sz w:val="24"/>
          <w:szCs w:val="24"/>
        </w:rPr>
        <w:t>Budget Template</w:t>
      </w:r>
      <w:r w:rsidR="00497BF1">
        <w:rPr>
          <w:rFonts w:ascii="Arial" w:hAnsi="Arial" w:cs="Arial"/>
          <w:sz w:val="24"/>
          <w:szCs w:val="24"/>
        </w:rPr>
        <w:t xml:space="preserve">. </w:t>
      </w:r>
      <w:r w:rsidRPr="004423DF">
        <w:rPr>
          <w:rFonts w:ascii="Arial" w:hAnsi="Arial" w:cs="Arial"/>
          <w:sz w:val="24"/>
          <w:szCs w:val="24"/>
        </w:rPr>
        <w:t xml:space="preserve"> If a Grant Recipient is uncertain if a proposed expenditure is eligible or ineligible, they should contact the </w:t>
      </w:r>
      <w:r w:rsidR="00361957">
        <w:rPr>
          <w:rFonts w:ascii="Arial" w:hAnsi="Arial" w:cs="Arial"/>
          <w:sz w:val="24"/>
          <w:szCs w:val="24"/>
        </w:rPr>
        <w:t>AEAAC</w:t>
      </w:r>
      <w:r w:rsidRPr="004423DF">
        <w:rPr>
          <w:rFonts w:ascii="Arial" w:hAnsi="Arial" w:cs="Arial"/>
          <w:sz w:val="24"/>
          <w:szCs w:val="24"/>
        </w:rPr>
        <w:t>, prior to making the expenditure.</w:t>
      </w:r>
      <w:r w:rsidR="00497BF1">
        <w:rPr>
          <w:rFonts w:ascii="Arial" w:hAnsi="Arial" w:cs="Arial"/>
          <w:sz w:val="24"/>
          <w:szCs w:val="24"/>
        </w:rPr>
        <w:t xml:space="preserve">  Eligible expenses include but are not limited to:</w:t>
      </w:r>
    </w:p>
    <w:p w14:paraId="4D5EC85C" w14:textId="6CB2979A" w:rsidR="00AD2CAE" w:rsidRDefault="00AD2CAE" w:rsidP="00DF06BC">
      <w:pPr>
        <w:pStyle w:val="ListParagraph"/>
        <w:widowControl w:val="0"/>
        <w:numPr>
          <w:ilvl w:val="0"/>
          <w:numId w:val="18"/>
        </w:num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manager salary and benefits.</w:t>
      </w:r>
      <w:r w:rsidR="00EC5713">
        <w:rPr>
          <w:rFonts w:ascii="Arial" w:hAnsi="Arial" w:cs="Arial"/>
          <w:sz w:val="24"/>
          <w:szCs w:val="24"/>
        </w:rPr>
        <w:t xml:space="preserve"> </w:t>
      </w:r>
    </w:p>
    <w:p w14:paraId="250CB14B" w14:textId="014F6AB6" w:rsidR="00AD2CAE" w:rsidRDefault="00AD2CAE" w:rsidP="00DF06BC">
      <w:pPr>
        <w:pStyle w:val="ListParagraph"/>
        <w:widowControl w:val="0"/>
        <w:numPr>
          <w:ilvl w:val="0"/>
          <w:numId w:val="18"/>
        </w:num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Reasonable travel and subsistence costs directly associated to the provision of case management services (i.e. outreach)</w:t>
      </w:r>
      <w:r w:rsidR="00EC5713">
        <w:rPr>
          <w:rFonts w:ascii="Arial" w:hAnsi="Arial" w:cs="Arial"/>
          <w:sz w:val="24"/>
          <w:szCs w:val="24"/>
        </w:rPr>
        <w:t xml:space="preserve"> or meetings with CCR partners and regional collaborators.  </w:t>
      </w:r>
    </w:p>
    <w:p w14:paraId="38CB4F7E" w14:textId="5FBF938D" w:rsidR="00C67062" w:rsidRPr="004423DF" w:rsidRDefault="00EC5713" w:rsidP="00DF06BC">
      <w:pPr>
        <w:pStyle w:val="ListParagraph"/>
        <w:widowControl w:val="0"/>
        <w:numPr>
          <w:ilvl w:val="0"/>
          <w:numId w:val="13"/>
        </w:num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67062" w:rsidRPr="004423DF">
        <w:rPr>
          <w:rFonts w:ascii="Arial" w:hAnsi="Arial" w:cs="Arial"/>
          <w:sz w:val="24"/>
          <w:szCs w:val="24"/>
        </w:rPr>
        <w:t xml:space="preserve">easonable costs for the purchase of equipment and supplies </w:t>
      </w:r>
      <w:r>
        <w:rPr>
          <w:rFonts w:ascii="Arial" w:hAnsi="Arial" w:cs="Arial"/>
          <w:sz w:val="24"/>
          <w:szCs w:val="24"/>
        </w:rPr>
        <w:t>that</w:t>
      </w:r>
      <w:r w:rsidRPr="004423DF">
        <w:rPr>
          <w:rFonts w:ascii="Arial" w:hAnsi="Arial" w:cs="Arial"/>
          <w:sz w:val="24"/>
          <w:szCs w:val="24"/>
        </w:rPr>
        <w:t xml:space="preserve"> </w:t>
      </w:r>
      <w:r w:rsidR="00C67062" w:rsidRPr="004423DF">
        <w:rPr>
          <w:rFonts w:ascii="Arial" w:hAnsi="Arial" w:cs="Arial"/>
          <w:sz w:val="24"/>
          <w:szCs w:val="24"/>
        </w:rPr>
        <w:t xml:space="preserve">are directly related to and will be used primarily for the </w:t>
      </w:r>
      <w:r w:rsidR="004423DF">
        <w:rPr>
          <w:rFonts w:ascii="Arial" w:hAnsi="Arial" w:cs="Arial"/>
          <w:sz w:val="24"/>
          <w:szCs w:val="24"/>
        </w:rPr>
        <w:t>initiative</w:t>
      </w:r>
      <w:r w:rsidR="00C67062" w:rsidRPr="004423DF">
        <w:rPr>
          <w:rFonts w:ascii="Arial" w:hAnsi="Arial" w:cs="Arial"/>
          <w:sz w:val="24"/>
          <w:szCs w:val="24"/>
        </w:rPr>
        <w:t>.</w:t>
      </w:r>
    </w:p>
    <w:p w14:paraId="62A2FAA2" w14:textId="77777777" w:rsidR="007B6276" w:rsidRPr="004423DF" w:rsidRDefault="007B6276" w:rsidP="00DF06BC">
      <w:pPr>
        <w:pStyle w:val="ListParagraph"/>
        <w:widowControl w:val="0"/>
        <w:numPr>
          <w:ilvl w:val="0"/>
          <w:numId w:val="15"/>
        </w:numPr>
        <w:spacing w:line="240" w:lineRule="auto"/>
        <w:ind w:left="426" w:hanging="284"/>
        <w:rPr>
          <w:rFonts w:ascii="Arial" w:hAnsi="Arial" w:cs="Arial"/>
          <w:sz w:val="24"/>
          <w:szCs w:val="24"/>
        </w:rPr>
        <w:sectPr w:rsidR="007B6276" w:rsidRPr="004423DF" w:rsidSect="007D1F66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3FE42C8" w14:textId="53391BEF" w:rsidR="00C67062" w:rsidRDefault="00C67062" w:rsidP="00DF06BC">
      <w:pPr>
        <w:pStyle w:val="ListParagraph"/>
        <w:widowControl w:val="0"/>
        <w:numPr>
          <w:ilvl w:val="0"/>
          <w:numId w:val="16"/>
        </w:num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 w:rsidRPr="00356DB3">
        <w:rPr>
          <w:rFonts w:ascii="Arial" w:hAnsi="Arial" w:cs="Arial"/>
          <w:sz w:val="24"/>
          <w:szCs w:val="24"/>
        </w:rPr>
        <w:t xml:space="preserve">Reasonable expenses related to courses, conferences, or other training opportunities that will enhance the skills or knowledge of the </w:t>
      </w:r>
      <w:r w:rsidR="00EC5713">
        <w:rPr>
          <w:rFonts w:ascii="Arial" w:hAnsi="Arial" w:cs="Arial"/>
          <w:sz w:val="24"/>
          <w:szCs w:val="24"/>
        </w:rPr>
        <w:t>case manager</w:t>
      </w:r>
      <w:r w:rsidRPr="00356DB3">
        <w:rPr>
          <w:rFonts w:ascii="Arial" w:hAnsi="Arial" w:cs="Arial"/>
          <w:sz w:val="24"/>
          <w:szCs w:val="24"/>
        </w:rPr>
        <w:t>.  (Note:  there is a maximum spending cap of $200 for this area)</w:t>
      </w:r>
      <w:r w:rsidR="001C509B">
        <w:rPr>
          <w:rFonts w:ascii="Arial" w:hAnsi="Arial" w:cs="Arial"/>
          <w:sz w:val="24"/>
          <w:szCs w:val="24"/>
        </w:rPr>
        <w:t>. Please note, t</w:t>
      </w:r>
      <w:r w:rsidR="00960C58">
        <w:rPr>
          <w:rFonts w:ascii="Arial" w:hAnsi="Arial" w:cs="Arial"/>
          <w:sz w:val="24"/>
          <w:szCs w:val="24"/>
        </w:rPr>
        <w:t>he Alberta Elder Abuse Awareness Council will make available training opportunities to case managers funded through this grant at no cost.</w:t>
      </w:r>
    </w:p>
    <w:p w14:paraId="16DF4629" w14:textId="77777777" w:rsidR="009D60E6" w:rsidRPr="009D60E6" w:rsidRDefault="009D60E6" w:rsidP="009D60E6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14:paraId="17F37B1B" w14:textId="66CEC223" w:rsidR="002B5948" w:rsidRDefault="000D32BB" w:rsidP="00DF06BC">
      <w:pPr>
        <w:pStyle w:val="ListParagraph"/>
        <w:widowControl w:val="0"/>
        <w:numPr>
          <w:ilvl w:val="0"/>
          <w:numId w:val="16"/>
        </w:numPr>
        <w:spacing w:after="16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lastRenderedPageBreak/>
        <w:t xml:space="preserve">Reasonable expenses for raising awareness or advertising the </w:t>
      </w:r>
      <w:r w:rsidR="00EC5713">
        <w:rPr>
          <w:rFonts w:ascii="Arial" w:hAnsi="Arial" w:cs="Arial"/>
          <w:sz w:val="24"/>
          <w:szCs w:val="24"/>
        </w:rPr>
        <w:t>c</w:t>
      </w:r>
      <w:r w:rsidRPr="004423DF">
        <w:rPr>
          <w:rFonts w:ascii="Arial" w:hAnsi="Arial" w:cs="Arial"/>
          <w:sz w:val="24"/>
          <w:szCs w:val="24"/>
        </w:rPr>
        <w:t xml:space="preserve">ase </w:t>
      </w:r>
      <w:r w:rsidR="00EC5713">
        <w:rPr>
          <w:rFonts w:ascii="Arial" w:hAnsi="Arial" w:cs="Arial"/>
          <w:sz w:val="24"/>
          <w:szCs w:val="24"/>
        </w:rPr>
        <w:t>m</w:t>
      </w:r>
      <w:r w:rsidRPr="004423DF">
        <w:rPr>
          <w:rFonts w:ascii="Arial" w:hAnsi="Arial" w:cs="Arial"/>
          <w:sz w:val="24"/>
          <w:szCs w:val="24"/>
        </w:rPr>
        <w:t>anager position</w:t>
      </w:r>
      <w:r w:rsidR="00EC5713">
        <w:rPr>
          <w:rFonts w:ascii="Arial" w:hAnsi="Arial" w:cs="Arial"/>
          <w:sz w:val="24"/>
          <w:szCs w:val="24"/>
        </w:rPr>
        <w:t xml:space="preserve"> and how older adults at risk of abuse can access services and </w:t>
      </w:r>
      <w:r w:rsidR="00FA60E4">
        <w:rPr>
          <w:rFonts w:ascii="Arial" w:hAnsi="Arial" w:cs="Arial"/>
          <w:sz w:val="24"/>
          <w:szCs w:val="24"/>
        </w:rPr>
        <w:t>support</w:t>
      </w:r>
      <w:r w:rsidR="00EC5713">
        <w:rPr>
          <w:rFonts w:ascii="Arial" w:hAnsi="Arial" w:cs="Arial"/>
          <w:sz w:val="24"/>
          <w:szCs w:val="24"/>
        </w:rPr>
        <w:t xml:space="preserve"> in their community</w:t>
      </w:r>
      <w:r w:rsidRPr="004423DF">
        <w:rPr>
          <w:rFonts w:ascii="Arial" w:hAnsi="Arial" w:cs="Arial"/>
          <w:sz w:val="24"/>
          <w:szCs w:val="24"/>
        </w:rPr>
        <w:t>. (Note:  there is a maximum spending cap of $500 for this area)</w:t>
      </w:r>
    </w:p>
    <w:p w14:paraId="01025B43" w14:textId="77777777" w:rsidR="009D60E6" w:rsidRPr="009D60E6" w:rsidRDefault="009D60E6" w:rsidP="009D60E6">
      <w:pPr>
        <w:pStyle w:val="ListParagraph"/>
        <w:rPr>
          <w:rFonts w:ascii="Arial" w:hAnsi="Arial" w:cs="Arial"/>
          <w:sz w:val="24"/>
          <w:szCs w:val="24"/>
        </w:rPr>
      </w:pPr>
    </w:p>
    <w:p w14:paraId="453C4C66" w14:textId="46E07DFB" w:rsidR="00EC5713" w:rsidRPr="00E9682D" w:rsidRDefault="00EC5713" w:rsidP="00E9682D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Ine</w:t>
      </w:r>
      <w:r w:rsidRPr="004423DF">
        <w:rPr>
          <w:rFonts w:ascii="Arial" w:hAnsi="Arial" w:cs="Arial"/>
          <w:b/>
          <w:color w:val="7030A0"/>
          <w:sz w:val="24"/>
          <w:szCs w:val="24"/>
        </w:rPr>
        <w:t>ligible Expenses</w:t>
      </w:r>
      <w:r>
        <w:rPr>
          <w:rFonts w:ascii="Arial" w:hAnsi="Arial" w:cs="Arial"/>
          <w:b/>
          <w:color w:val="7030A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497BF1">
        <w:rPr>
          <w:rFonts w:ascii="Arial" w:hAnsi="Arial" w:cs="Arial"/>
          <w:sz w:val="24"/>
          <w:szCs w:val="24"/>
        </w:rPr>
        <w:t xml:space="preserve">Ineligible expenses include but are not limited to: </w:t>
      </w:r>
    </w:p>
    <w:p w14:paraId="41F47E64" w14:textId="7F738EEB" w:rsidR="007B6276" w:rsidRPr="004423DF" w:rsidRDefault="007B6276" w:rsidP="00E9682D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  <w:sectPr w:rsidR="007B6276" w:rsidRPr="004423DF" w:rsidSect="007D1F6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E40085C" w14:textId="1B4F080C" w:rsidR="00C67062" w:rsidRPr="004423DF" w:rsidRDefault="00C67062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Alcohol</w:t>
      </w:r>
    </w:p>
    <w:p w14:paraId="6399AFA4" w14:textId="77777777" w:rsidR="00497BF1" w:rsidRDefault="00497BF1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Space rental</w:t>
      </w:r>
    </w:p>
    <w:p w14:paraId="5A7EB9D9" w14:textId="07EA5A75" w:rsidR="00C67062" w:rsidRPr="004423DF" w:rsidRDefault="00C67062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Monthly parking fees</w:t>
      </w:r>
    </w:p>
    <w:p w14:paraId="449CF6D2" w14:textId="5EA041D3" w:rsidR="00C67062" w:rsidRPr="004423DF" w:rsidRDefault="00C67062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 xml:space="preserve">Expenses incurred prior to application </w:t>
      </w:r>
      <w:r w:rsidR="006B22E2" w:rsidRPr="004423DF">
        <w:rPr>
          <w:rFonts w:ascii="Arial" w:hAnsi="Arial" w:cs="Arial"/>
          <w:sz w:val="24"/>
          <w:szCs w:val="24"/>
        </w:rPr>
        <w:t>approval.</w:t>
      </w:r>
    </w:p>
    <w:p w14:paraId="568ED46C" w14:textId="77777777" w:rsidR="00497BF1" w:rsidRDefault="00C67062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sz w:val="24"/>
          <w:szCs w:val="24"/>
        </w:rPr>
        <w:t>Research</w:t>
      </w:r>
    </w:p>
    <w:p w14:paraId="579DFB6B" w14:textId="77777777" w:rsidR="00497BF1" w:rsidRDefault="00497BF1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fees</w:t>
      </w:r>
    </w:p>
    <w:p w14:paraId="0178FB0A" w14:textId="19436795" w:rsidR="00497BF1" w:rsidRDefault="00497BF1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Auditing/bookkeeping and legal fees</w:t>
      </w:r>
    </w:p>
    <w:p w14:paraId="49E97467" w14:textId="4EEFEC75" w:rsidR="00497BF1" w:rsidRPr="0015602E" w:rsidRDefault="00497BF1" w:rsidP="00E9682D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602E">
        <w:rPr>
          <w:rFonts w:ascii="Arial" w:hAnsi="Arial" w:cs="Arial"/>
          <w:sz w:val="24"/>
          <w:szCs w:val="24"/>
        </w:rPr>
        <w:t>Insurance</w:t>
      </w:r>
    </w:p>
    <w:p w14:paraId="654F222A" w14:textId="61616EA8" w:rsidR="00497BF1" w:rsidRDefault="00497BF1" w:rsidP="00E9682D">
      <w:pPr>
        <w:pStyle w:val="ListParagraph"/>
        <w:widowControl w:val="0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or advertising of general awareness-raising materials</w:t>
      </w:r>
    </w:p>
    <w:p w14:paraId="5ED792FC" w14:textId="77777777" w:rsidR="007B6276" w:rsidRPr="004423DF" w:rsidRDefault="007B6276" w:rsidP="00E9682D">
      <w:pPr>
        <w:spacing w:line="240" w:lineRule="auto"/>
        <w:rPr>
          <w:rFonts w:ascii="Arial" w:hAnsi="Arial" w:cs="Arial"/>
          <w:b/>
          <w:color w:val="7030A0"/>
          <w:sz w:val="24"/>
          <w:szCs w:val="24"/>
        </w:rPr>
        <w:sectPr w:rsidR="007B6276" w:rsidRPr="004423DF" w:rsidSect="007D1F6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19AF85" w14:textId="5747D8DE" w:rsidR="007B6276" w:rsidRPr="004423DF" w:rsidRDefault="007B6276" w:rsidP="00DB7E3A">
      <w:pPr>
        <w:spacing w:before="48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How to Apply:</w:t>
      </w:r>
      <w:r w:rsidRPr="004423DF">
        <w:rPr>
          <w:rFonts w:ascii="Arial" w:hAnsi="Arial" w:cs="Arial"/>
          <w:color w:val="7030A0"/>
          <w:sz w:val="24"/>
          <w:szCs w:val="24"/>
        </w:rPr>
        <w:t xml:space="preserve">  </w:t>
      </w:r>
      <w:r w:rsidRPr="004423DF">
        <w:rPr>
          <w:rFonts w:ascii="Arial" w:hAnsi="Arial" w:cs="Arial"/>
          <w:sz w:val="24"/>
          <w:szCs w:val="24"/>
        </w:rPr>
        <w:t xml:space="preserve">Submit an application form (available at:  </w:t>
      </w:r>
      <w:hyperlink r:id="rId9" w:history="1">
        <w:r w:rsidRPr="004423DF">
          <w:rPr>
            <w:rStyle w:val="Hyperlink"/>
            <w:rFonts w:ascii="Arial" w:hAnsi="Arial" w:cs="Arial"/>
            <w:sz w:val="24"/>
            <w:szCs w:val="24"/>
          </w:rPr>
          <w:t>www.albertaelderabuse.ca</w:t>
        </w:r>
      </w:hyperlink>
      <w:r w:rsidRPr="004423DF">
        <w:rPr>
          <w:rFonts w:ascii="Arial" w:hAnsi="Arial" w:cs="Arial"/>
          <w:sz w:val="24"/>
          <w:szCs w:val="24"/>
        </w:rPr>
        <w:t xml:space="preserve">) and supporting documents to </w:t>
      </w:r>
      <w:hyperlink r:id="rId10" w:history="1">
        <w:r w:rsidRPr="004423DF">
          <w:rPr>
            <w:rStyle w:val="Hyperlink"/>
            <w:rFonts w:ascii="Arial" w:hAnsi="Arial" w:cs="Arial"/>
            <w:sz w:val="24"/>
            <w:szCs w:val="24"/>
          </w:rPr>
          <w:t>elderabusealberta@gmail.com</w:t>
        </w:r>
      </w:hyperlink>
      <w:r w:rsidRPr="004423DF">
        <w:rPr>
          <w:rFonts w:ascii="Arial" w:hAnsi="Arial" w:cs="Arial"/>
          <w:sz w:val="24"/>
          <w:szCs w:val="24"/>
        </w:rPr>
        <w:t xml:space="preserve"> by 4:30 p.m. on </w:t>
      </w:r>
      <w:r w:rsidR="001522D1">
        <w:rPr>
          <w:rFonts w:ascii="Arial" w:hAnsi="Arial" w:cs="Arial"/>
          <w:sz w:val="24"/>
          <w:szCs w:val="24"/>
        </w:rPr>
        <w:t>May 24</w:t>
      </w:r>
      <w:r w:rsidRPr="004423DF">
        <w:rPr>
          <w:rFonts w:ascii="Arial" w:hAnsi="Arial" w:cs="Arial"/>
          <w:sz w:val="24"/>
          <w:szCs w:val="24"/>
        </w:rPr>
        <w:t>, 202</w:t>
      </w:r>
      <w:r w:rsidR="001522D1">
        <w:rPr>
          <w:rFonts w:ascii="Arial" w:hAnsi="Arial" w:cs="Arial"/>
          <w:sz w:val="24"/>
          <w:szCs w:val="24"/>
        </w:rPr>
        <w:t>4</w:t>
      </w:r>
      <w:r w:rsidRPr="004423DF">
        <w:rPr>
          <w:rFonts w:ascii="Arial" w:hAnsi="Arial" w:cs="Arial"/>
          <w:sz w:val="24"/>
          <w:szCs w:val="24"/>
        </w:rPr>
        <w:t>.  Each application package should contain:</w:t>
      </w:r>
    </w:p>
    <w:p w14:paraId="766F68F0" w14:textId="787BE891" w:rsidR="007B6276" w:rsidRPr="004423DF" w:rsidRDefault="00000000" w:rsidP="00E9682D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</w:rPr>
          <w:id w:val="36241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276" w:rsidRPr="004423D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B6276" w:rsidRPr="004423DF">
        <w:rPr>
          <w:rFonts w:ascii="Arial" w:hAnsi="Arial" w:cs="Arial"/>
          <w:sz w:val="24"/>
          <w:szCs w:val="24"/>
        </w:rPr>
        <w:t xml:space="preserve"> Completed </w:t>
      </w:r>
      <w:r w:rsidR="006D2969">
        <w:rPr>
          <w:rFonts w:ascii="Arial" w:hAnsi="Arial" w:cs="Arial"/>
          <w:sz w:val="24"/>
          <w:szCs w:val="24"/>
        </w:rPr>
        <w:t>a</w:t>
      </w:r>
      <w:r w:rsidR="007B6276" w:rsidRPr="004423DF">
        <w:rPr>
          <w:rFonts w:ascii="Arial" w:hAnsi="Arial" w:cs="Arial"/>
          <w:sz w:val="24"/>
          <w:szCs w:val="24"/>
        </w:rPr>
        <w:t>pplication form</w:t>
      </w:r>
    </w:p>
    <w:p w14:paraId="2B19C769" w14:textId="4123757E" w:rsidR="007B6276" w:rsidRPr="004423DF" w:rsidRDefault="00000000" w:rsidP="00E9682D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</w:rPr>
          <w:id w:val="147163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276" w:rsidRPr="004423D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B6276" w:rsidRPr="004423DF">
        <w:rPr>
          <w:rFonts w:ascii="Arial" w:hAnsi="Arial" w:cs="Arial"/>
          <w:sz w:val="24"/>
          <w:szCs w:val="24"/>
        </w:rPr>
        <w:t xml:space="preserve"> </w:t>
      </w:r>
      <w:r w:rsidR="006D2969">
        <w:rPr>
          <w:rFonts w:ascii="Arial" w:hAnsi="Arial" w:cs="Arial"/>
          <w:sz w:val="24"/>
          <w:szCs w:val="24"/>
        </w:rPr>
        <w:t>Completed d</w:t>
      </w:r>
      <w:r w:rsidR="007B6276" w:rsidRPr="004423DF">
        <w:rPr>
          <w:rFonts w:ascii="Arial" w:hAnsi="Arial" w:cs="Arial"/>
          <w:sz w:val="24"/>
          <w:szCs w:val="24"/>
        </w:rPr>
        <w:t xml:space="preserve">etailed </w:t>
      </w:r>
      <w:r w:rsidR="006D2969">
        <w:rPr>
          <w:rFonts w:ascii="Arial" w:hAnsi="Arial" w:cs="Arial"/>
          <w:sz w:val="24"/>
          <w:szCs w:val="24"/>
        </w:rPr>
        <w:t>b</w:t>
      </w:r>
      <w:r w:rsidR="007B6276" w:rsidRPr="004423DF">
        <w:rPr>
          <w:rFonts w:ascii="Arial" w:hAnsi="Arial" w:cs="Arial"/>
          <w:sz w:val="24"/>
          <w:szCs w:val="24"/>
        </w:rPr>
        <w:t xml:space="preserve">udget </w:t>
      </w:r>
      <w:r w:rsidR="00C82147">
        <w:rPr>
          <w:rFonts w:ascii="Arial" w:hAnsi="Arial" w:cs="Arial"/>
          <w:sz w:val="24"/>
          <w:szCs w:val="24"/>
        </w:rPr>
        <w:t>t</w:t>
      </w:r>
      <w:r w:rsidR="006D2969">
        <w:rPr>
          <w:rFonts w:ascii="Arial" w:hAnsi="Arial" w:cs="Arial"/>
          <w:sz w:val="24"/>
          <w:szCs w:val="24"/>
        </w:rPr>
        <w:t>emplate</w:t>
      </w:r>
    </w:p>
    <w:p w14:paraId="1703C351" w14:textId="602531B8" w:rsidR="007B6276" w:rsidRPr="004423DF" w:rsidRDefault="00000000" w:rsidP="00E9682D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</w:rPr>
          <w:id w:val="-137476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276" w:rsidRPr="004423D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B6276" w:rsidRPr="004423DF">
        <w:rPr>
          <w:rFonts w:ascii="Arial" w:hAnsi="Arial" w:cs="Arial"/>
          <w:sz w:val="24"/>
          <w:szCs w:val="24"/>
        </w:rPr>
        <w:t xml:space="preserve"> </w:t>
      </w:r>
      <w:r w:rsidR="0015602E">
        <w:rPr>
          <w:rFonts w:ascii="Arial" w:hAnsi="Arial" w:cs="Arial"/>
          <w:sz w:val="24"/>
          <w:szCs w:val="24"/>
        </w:rPr>
        <w:t>2</w:t>
      </w:r>
      <w:r w:rsidR="007B6276" w:rsidRPr="004423DF">
        <w:rPr>
          <w:rFonts w:ascii="Arial" w:hAnsi="Arial" w:cs="Arial"/>
          <w:sz w:val="24"/>
          <w:szCs w:val="24"/>
        </w:rPr>
        <w:t xml:space="preserve"> letters of commitment </w:t>
      </w:r>
    </w:p>
    <w:p w14:paraId="0668A870" w14:textId="034B86BE" w:rsidR="007B6276" w:rsidRPr="004423DF" w:rsidRDefault="00000000" w:rsidP="00E9682D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</w:rPr>
          <w:id w:val="-17233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276" w:rsidRPr="004423D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B6276" w:rsidRPr="004423DF">
        <w:rPr>
          <w:rFonts w:ascii="Arial" w:hAnsi="Arial" w:cs="Arial"/>
          <w:sz w:val="24"/>
          <w:szCs w:val="24"/>
        </w:rPr>
        <w:t xml:space="preserve"> Current organizational membership list of the CCR group</w:t>
      </w:r>
      <w:r w:rsidR="00361711">
        <w:rPr>
          <w:rFonts w:ascii="Arial" w:hAnsi="Arial" w:cs="Arial"/>
          <w:sz w:val="24"/>
          <w:szCs w:val="24"/>
        </w:rPr>
        <w:t>. Existing or building</w:t>
      </w:r>
    </w:p>
    <w:p w14:paraId="78127207" w14:textId="2620A8DA" w:rsidR="007B6276" w:rsidRPr="004423DF" w:rsidRDefault="007B6276" w:rsidP="00DB7E3A">
      <w:pPr>
        <w:widowControl w:val="0"/>
        <w:spacing w:before="360" w:line="240" w:lineRule="auto"/>
        <w:rPr>
          <w:rFonts w:ascii="Arial" w:hAnsi="Arial" w:cs="Arial"/>
          <w:sz w:val="24"/>
          <w:szCs w:val="24"/>
        </w:rPr>
      </w:pPr>
      <w:r w:rsidRPr="004423DF">
        <w:rPr>
          <w:rFonts w:ascii="Arial" w:hAnsi="Arial" w:cs="Arial"/>
          <w:b/>
          <w:color w:val="7030A0"/>
          <w:sz w:val="24"/>
          <w:szCs w:val="24"/>
        </w:rPr>
        <w:t>Contact:</w:t>
      </w:r>
      <w:r w:rsidRPr="004423DF">
        <w:rPr>
          <w:rFonts w:ascii="Arial" w:hAnsi="Arial" w:cs="Arial"/>
          <w:color w:val="7030A0"/>
          <w:sz w:val="24"/>
          <w:szCs w:val="24"/>
        </w:rPr>
        <w:t> </w:t>
      </w:r>
      <w:r w:rsidR="0015602E">
        <w:rPr>
          <w:rFonts w:ascii="Arial" w:hAnsi="Arial" w:cs="Arial"/>
          <w:sz w:val="24"/>
          <w:szCs w:val="24"/>
        </w:rPr>
        <w:t>Joanne Blinco</w:t>
      </w:r>
      <w:r w:rsidRPr="004423DF">
        <w:rPr>
          <w:rFonts w:ascii="Arial" w:hAnsi="Arial" w:cs="Arial"/>
          <w:sz w:val="24"/>
          <w:szCs w:val="24"/>
        </w:rPr>
        <w:t xml:space="preserve"> by phone at 403-</w:t>
      </w:r>
      <w:r w:rsidR="0015602E">
        <w:rPr>
          <w:rFonts w:ascii="Arial" w:hAnsi="Arial" w:cs="Arial"/>
          <w:sz w:val="24"/>
          <w:szCs w:val="24"/>
        </w:rPr>
        <w:t>849-0101</w:t>
      </w:r>
      <w:r w:rsidRPr="004423DF">
        <w:rPr>
          <w:rFonts w:ascii="Arial" w:hAnsi="Arial" w:cs="Arial"/>
          <w:sz w:val="24"/>
          <w:szCs w:val="24"/>
        </w:rPr>
        <w:t xml:space="preserve"> or by email at </w:t>
      </w:r>
      <w:hyperlink r:id="rId11" w:history="1">
        <w:r w:rsidR="001522D1" w:rsidRPr="00EF6B96">
          <w:rPr>
            <w:rStyle w:val="Hyperlink"/>
            <w:rFonts w:ascii="Arial" w:hAnsi="Arial" w:cs="Arial"/>
            <w:sz w:val="24"/>
            <w:szCs w:val="24"/>
            <w:lang w:val="en-US"/>
          </w:rPr>
          <w:t>Joanne.AEAAC@outlook.com</w:t>
        </w:r>
      </w:hyperlink>
      <w:r w:rsidRPr="004423DF">
        <w:rPr>
          <w:rFonts w:ascii="Arial" w:hAnsi="Arial" w:cs="Arial"/>
          <w:sz w:val="24"/>
          <w:szCs w:val="24"/>
        </w:rPr>
        <w:t xml:space="preserve"> </w:t>
      </w:r>
    </w:p>
    <w:p w14:paraId="76FAD354" w14:textId="0F8A2F2F" w:rsidR="00C67062" w:rsidRPr="004423DF" w:rsidRDefault="00C67062" w:rsidP="002E598B">
      <w:pPr>
        <w:widowControl w:val="0"/>
        <w:rPr>
          <w:rFonts w:ascii="Arial" w:hAnsi="Arial" w:cs="Arial"/>
          <w:sz w:val="24"/>
          <w:szCs w:val="24"/>
        </w:rPr>
      </w:pPr>
    </w:p>
    <w:p w14:paraId="4340E6AE" w14:textId="77777777" w:rsidR="00C67062" w:rsidRPr="004423DF" w:rsidRDefault="00C67062" w:rsidP="002E598B">
      <w:pPr>
        <w:widowControl w:val="0"/>
        <w:rPr>
          <w:rFonts w:ascii="Arial" w:hAnsi="Arial" w:cs="Arial"/>
          <w:sz w:val="24"/>
          <w:szCs w:val="24"/>
        </w:rPr>
      </w:pPr>
    </w:p>
    <w:p w14:paraId="5CA038D6" w14:textId="77777777" w:rsidR="00C67062" w:rsidRPr="004423DF" w:rsidRDefault="00C67062" w:rsidP="002E598B">
      <w:pPr>
        <w:widowControl w:val="0"/>
        <w:rPr>
          <w:rFonts w:ascii="Arial" w:hAnsi="Arial" w:cs="Arial"/>
          <w:sz w:val="24"/>
          <w:szCs w:val="24"/>
        </w:rPr>
      </w:pPr>
    </w:p>
    <w:p w14:paraId="709251FA" w14:textId="77777777" w:rsidR="00C67062" w:rsidRPr="002E598B" w:rsidRDefault="00C67062" w:rsidP="002E598B">
      <w:pPr>
        <w:widowControl w:val="0"/>
        <w:rPr>
          <w:sz w:val="24"/>
          <w:szCs w:val="24"/>
        </w:rPr>
      </w:pPr>
    </w:p>
    <w:sectPr w:rsidR="00C67062" w:rsidRPr="002E598B" w:rsidSect="007D1F6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FEB9" w14:textId="77777777" w:rsidR="007D1F66" w:rsidRDefault="007D1F66" w:rsidP="00DF35BB">
      <w:pPr>
        <w:spacing w:after="0" w:line="240" w:lineRule="auto"/>
      </w:pPr>
      <w:r>
        <w:separator/>
      </w:r>
    </w:p>
  </w:endnote>
  <w:endnote w:type="continuationSeparator" w:id="0">
    <w:p w14:paraId="7C9651DD" w14:textId="77777777" w:rsidR="007D1F66" w:rsidRDefault="007D1F66" w:rsidP="00DF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595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405FD" w14:textId="67F4BEC0" w:rsidR="00D64A9B" w:rsidRDefault="00FE488B" w:rsidP="00FE488B">
        <w:pPr>
          <w:pStyle w:val="Footer"/>
          <w:jc w:val="center"/>
        </w:pPr>
        <w:r>
          <w:rPr>
            <w:noProof/>
            <w:lang w:eastAsia="en-CA"/>
          </w:rPr>
          <w:drawing>
            <wp:anchor distT="0" distB="0" distL="114300" distR="114300" simplePos="0" relativeHeight="251658240" behindDoc="0" locked="0" layoutInCell="1" allowOverlap="1" wp14:anchorId="1CDFB02B" wp14:editId="5274F059">
              <wp:simplePos x="0" y="0"/>
              <wp:positionH relativeFrom="column">
                <wp:posOffset>-450850</wp:posOffset>
              </wp:positionH>
              <wp:positionV relativeFrom="paragraph">
                <wp:posOffset>9525</wp:posOffset>
              </wp:positionV>
              <wp:extent cx="95250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EAAC logo horizontal colou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64A9B">
          <w:fldChar w:fldCharType="begin"/>
        </w:r>
        <w:r w:rsidR="00D64A9B">
          <w:instrText xml:space="preserve"> PAGE   \* MERGEFORMAT </w:instrText>
        </w:r>
        <w:r w:rsidR="00D64A9B">
          <w:fldChar w:fldCharType="separate"/>
        </w:r>
        <w:r>
          <w:rPr>
            <w:noProof/>
          </w:rPr>
          <w:t>3</w:t>
        </w:r>
        <w:r w:rsidR="00D64A9B">
          <w:rPr>
            <w:noProof/>
          </w:rPr>
          <w:fldChar w:fldCharType="end"/>
        </w:r>
      </w:p>
    </w:sdtContent>
  </w:sdt>
  <w:p w14:paraId="3B127F83" w14:textId="5208B3CB" w:rsidR="00DF35BB" w:rsidRDefault="00DF35BB" w:rsidP="00D64A9B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D8E9" w14:textId="77777777" w:rsidR="007D1F66" w:rsidRDefault="007D1F66" w:rsidP="00DF35BB">
      <w:pPr>
        <w:spacing w:after="0" w:line="240" w:lineRule="auto"/>
      </w:pPr>
      <w:r>
        <w:separator/>
      </w:r>
    </w:p>
  </w:footnote>
  <w:footnote w:type="continuationSeparator" w:id="0">
    <w:p w14:paraId="52877B4F" w14:textId="77777777" w:rsidR="007D1F66" w:rsidRDefault="007D1F66" w:rsidP="00DF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850"/>
    <w:multiLevelType w:val="hybridMultilevel"/>
    <w:tmpl w:val="E214931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12F5"/>
    <w:multiLevelType w:val="hybridMultilevel"/>
    <w:tmpl w:val="F7FC4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361"/>
    <w:multiLevelType w:val="hybridMultilevel"/>
    <w:tmpl w:val="B0A07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0BF"/>
    <w:multiLevelType w:val="hybridMultilevel"/>
    <w:tmpl w:val="E8909B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891"/>
    <w:multiLevelType w:val="hybridMultilevel"/>
    <w:tmpl w:val="420C21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1131"/>
    <w:multiLevelType w:val="hybridMultilevel"/>
    <w:tmpl w:val="7EDC33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25E14"/>
    <w:multiLevelType w:val="hybridMultilevel"/>
    <w:tmpl w:val="ECBC75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A8D"/>
    <w:multiLevelType w:val="hybridMultilevel"/>
    <w:tmpl w:val="20E67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6A4CCD"/>
    <w:multiLevelType w:val="hybridMultilevel"/>
    <w:tmpl w:val="15B2CE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B4FA3"/>
    <w:multiLevelType w:val="hybridMultilevel"/>
    <w:tmpl w:val="2B363B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563E8"/>
    <w:multiLevelType w:val="hybridMultilevel"/>
    <w:tmpl w:val="046C0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1859"/>
    <w:multiLevelType w:val="hybridMultilevel"/>
    <w:tmpl w:val="931E7C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6E8A"/>
    <w:multiLevelType w:val="hybridMultilevel"/>
    <w:tmpl w:val="068E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03B"/>
    <w:multiLevelType w:val="hybridMultilevel"/>
    <w:tmpl w:val="9A52B2D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9D37F1"/>
    <w:multiLevelType w:val="hybridMultilevel"/>
    <w:tmpl w:val="F0661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C7FC9"/>
    <w:multiLevelType w:val="hybridMultilevel"/>
    <w:tmpl w:val="FDA68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31C78"/>
    <w:multiLevelType w:val="hybridMultilevel"/>
    <w:tmpl w:val="CBB219F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6A359D"/>
    <w:multiLevelType w:val="hybridMultilevel"/>
    <w:tmpl w:val="E71C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042B2"/>
    <w:multiLevelType w:val="hybridMultilevel"/>
    <w:tmpl w:val="CA28E50A"/>
    <w:lvl w:ilvl="0" w:tplc="2CCE633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C6AC1B4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9304AEB2">
      <w:start w:val="1"/>
      <w:numFmt w:val="bullet"/>
      <w:lvlText w:val="•"/>
      <w:lvlJc w:val="left"/>
      <w:rPr>
        <w:rFonts w:hint="default"/>
      </w:rPr>
    </w:lvl>
    <w:lvl w:ilvl="3" w:tplc="89F4D56E">
      <w:start w:val="1"/>
      <w:numFmt w:val="bullet"/>
      <w:lvlText w:val="•"/>
      <w:lvlJc w:val="left"/>
      <w:rPr>
        <w:rFonts w:hint="default"/>
      </w:rPr>
    </w:lvl>
    <w:lvl w:ilvl="4" w:tplc="8E920CC6">
      <w:start w:val="1"/>
      <w:numFmt w:val="bullet"/>
      <w:lvlText w:val="•"/>
      <w:lvlJc w:val="left"/>
      <w:rPr>
        <w:rFonts w:hint="default"/>
      </w:rPr>
    </w:lvl>
    <w:lvl w:ilvl="5" w:tplc="7D70B6A2">
      <w:start w:val="1"/>
      <w:numFmt w:val="bullet"/>
      <w:lvlText w:val="•"/>
      <w:lvlJc w:val="left"/>
      <w:rPr>
        <w:rFonts w:hint="default"/>
      </w:rPr>
    </w:lvl>
    <w:lvl w:ilvl="6" w:tplc="EA707A00">
      <w:start w:val="1"/>
      <w:numFmt w:val="bullet"/>
      <w:lvlText w:val="•"/>
      <w:lvlJc w:val="left"/>
      <w:rPr>
        <w:rFonts w:hint="default"/>
      </w:rPr>
    </w:lvl>
    <w:lvl w:ilvl="7" w:tplc="C0782D5C">
      <w:start w:val="1"/>
      <w:numFmt w:val="bullet"/>
      <w:lvlText w:val="•"/>
      <w:lvlJc w:val="left"/>
      <w:rPr>
        <w:rFonts w:hint="default"/>
      </w:rPr>
    </w:lvl>
    <w:lvl w:ilvl="8" w:tplc="A282D02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B56540E"/>
    <w:multiLevelType w:val="hybridMultilevel"/>
    <w:tmpl w:val="B8CA9AD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667282">
    <w:abstractNumId w:val="4"/>
  </w:num>
  <w:num w:numId="2" w16cid:durableId="560940610">
    <w:abstractNumId w:val="6"/>
  </w:num>
  <w:num w:numId="3" w16cid:durableId="1856535011">
    <w:abstractNumId w:val="17"/>
  </w:num>
  <w:num w:numId="4" w16cid:durableId="315961893">
    <w:abstractNumId w:val="11"/>
  </w:num>
  <w:num w:numId="5" w16cid:durableId="1871186090">
    <w:abstractNumId w:val="8"/>
  </w:num>
  <w:num w:numId="6" w16cid:durableId="965433483">
    <w:abstractNumId w:val="12"/>
  </w:num>
  <w:num w:numId="7" w16cid:durableId="258684028">
    <w:abstractNumId w:val="7"/>
  </w:num>
  <w:num w:numId="8" w16cid:durableId="1450514757">
    <w:abstractNumId w:val="9"/>
  </w:num>
  <w:num w:numId="9" w16cid:durableId="1066757073">
    <w:abstractNumId w:val="18"/>
  </w:num>
  <w:num w:numId="10" w16cid:durableId="1196232998">
    <w:abstractNumId w:val="5"/>
  </w:num>
  <w:num w:numId="11" w16cid:durableId="380522511">
    <w:abstractNumId w:val="10"/>
  </w:num>
  <w:num w:numId="12" w16cid:durableId="189490172">
    <w:abstractNumId w:val="3"/>
  </w:num>
  <w:num w:numId="13" w16cid:durableId="1833062848">
    <w:abstractNumId w:val="15"/>
  </w:num>
  <w:num w:numId="14" w16cid:durableId="80181460">
    <w:abstractNumId w:val="0"/>
  </w:num>
  <w:num w:numId="15" w16cid:durableId="583612026">
    <w:abstractNumId w:val="19"/>
  </w:num>
  <w:num w:numId="16" w16cid:durableId="563490541">
    <w:abstractNumId w:val="2"/>
  </w:num>
  <w:num w:numId="17" w16cid:durableId="1512717638">
    <w:abstractNumId w:val="16"/>
  </w:num>
  <w:num w:numId="18" w16cid:durableId="1051420663">
    <w:abstractNumId w:val="14"/>
  </w:num>
  <w:num w:numId="19" w16cid:durableId="1821992848">
    <w:abstractNumId w:val="13"/>
  </w:num>
  <w:num w:numId="20" w16cid:durableId="79032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33"/>
    <w:rsid w:val="00013A33"/>
    <w:rsid w:val="000235D4"/>
    <w:rsid w:val="00072DEC"/>
    <w:rsid w:val="000745ED"/>
    <w:rsid w:val="000B799F"/>
    <w:rsid w:val="000D32BB"/>
    <w:rsid w:val="000D55B4"/>
    <w:rsid w:val="000E0381"/>
    <w:rsid w:val="0010028F"/>
    <w:rsid w:val="00131B9B"/>
    <w:rsid w:val="001522D1"/>
    <w:rsid w:val="0015602E"/>
    <w:rsid w:val="001964FF"/>
    <w:rsid w:val="001C509B"/>
    <w:rsid w:val="00262049"/>
    <w:rsid w:val="002660F9"/>
    <w:rsid w:val="002B5948"/>
    <w:rsid w:val="002E598B"/>
    <w:rsid w:val="002F13C4"/>
    <w:rsid w:val="00316AED"/>
    <w:rsid w:val="0034123C"/>
    <w:rsid w:val="00342DC5"/>
    <w:rsid w:val="00356DB3"/>
    <w:rsid w:val="00361711"/>
    <w:rsid w:val="00361957"/>
    <w:rsid w:val="00394EF5"/>
    <w:rsid w:val="003A48D9"/>
    <w:rsid w:val="003F2028"/>
    <w:rsid w:val="00401278"/>
    <w:rsid w:val="004423DF"/>
    <w:rsid w:val="00465DBB"/>
    <w:rsid w:val="00497BF1"/>
    <w:rsid w:val="004C61DD"/>
    <w:rsid w:val="004E132B"/>
    <w:rsid w:val="005B3A68"/>
    <w:rsid w:val="006275BF"/>
    <w:rsid w:val="00630A63"/>
    <w:rsid w:val="006B22E2"/>
    <w:rsid w:val="006B6DB9"/>
    <w:rsid w:val="006D2969"/>
    <w:rsid w:val="007335EB"/>
    <w:rsid w:val="00747D66"/>
    <w:rsid w:val="00757E86"/>
    <w:rsid w:val="007B6276"/>
    <w:rsid w:val="007C6585"/>
    <w:rsid w:val="007D1F66"/>
    <w:rsid w:val="007D2C14"/>
    <w:rsid w:val="00847C01"/>
    <w:rsid w:val="00865B3B"/>
    <w:rsid w:val="00870F10"/>
    <w:rsid w:val="008D60D0"/>
    <w:rsid w:val="0090666B"/>
    <w:rsid w:val="00960C58"/>
    <w:rsid w:val="009651B8"/>
    <w:rsid w:val="00997A07"/>
    <w:rsid w:val="009D60E6"/>
    <w:rsid w:val="009F7E75"/>
    <w:rsid w:val="00A06972"/>
    <w:rsid w:val="00A13837"/>
    <w:rsid w:val="00A21CD2"/>
    <w:rsid w:val="00A73CF9"/>
    <w:rsid w:val="00A90F6B"/>
    <w:rsid w:val="00AD2CAE"/>
    <w:rsid w:val="00AE38A0"/>
    <w:rsid w:val="00B8022C"/>
    <w:rsid w:val="00C67062"/>
    <w:rsid w:val="00C82147"/>
    <w:rsid w:val="00C826B3"/>
    <w:rsid w:val="00CD33EA"/>
    <w:rsid w:val="00CD3E8A"/>
    <w:rsid w:val="00D06CE3"/>
    <w:rsid w:val="00D64A9B"/>
    <w:rsid w:val="00DB7E3A"/>
    <w:rsid w:val="00DC7584"/>
    <w:rsid w:val="00DD1987"/>
    <w:rsid w:val="00DF06BC"/>
    <w:rsid w:val="00DF35BB"/>
    <w:rsid w:val="00E4114E"/>
    <w:rsid w:val="00E9682D"/>
    <w:rsid w:val="00EA40C8"/>
    <w:rsid w:val="00EA609E"/>
    <w:rsid w:val="00EA75DA"/>
    <w:rsid w:val="00EC5713"/>
    <w:rsid w:val="00F1118D"/>
    <w:rsid w:val="00FA60E4"/>
    <w:rsid w:val="00FE488B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2B770"/>
  <w15:chartTrackingRefBased/>
  <w15:docId w15:val="{39796DCD-6159-40FC-888A-B53CBBBC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Pasture">
    <w:name w:val="Heading - Pasture"/>
    <w:link w:val="Heading-PastureChar"/>
    <w:qFormat/>
    <w:rsid w:val="00013A33"/>
    <w:pPr>
      <w:spacing w:after="0" w:line="240" w:lineRule="auto"/>
    </w:pPr>
    <w:rPr>
      <w:rFonts w:ascii="Arial" w:hAnsi="Arial" w:cs="Arial"/>
      <w:color w:val="A5A5A5" w:themeColor="accent3"/>
      <w:sz w:val="84"/>
      <w:szCs w:val="84"/>
      <w:lang w:val="en-US"/>
    </w:rPr>
  </w:style>
  <w:style w:type="character" w:customStyle="1" w:styleId="Heading-PastureChar">
    <w:name w:val="Heading - Pasture Char"/>
    <w:basedOn w:val="DefaultParagraphFont"/>
    <w:link w:val="Heading-Pasture"/>
    <w:rsid w:val="00013A33"/>
    <w:rPr>
      <w:rFonts w:ascii="Arial" w:hAnsi="Arial" w:cs="Arial"/>
      <w:color w:val="A5A5A5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013A33"/>
    <w:pPr>
      <w:spacing w:after="0" w:line="240" w:lineRule="auto"/>
    </w:pPr>
    <w:rPr>
      <w:rFonts w:ascii="Arial" w:hAnsi="Arial" w:cs="Arial"/>
      <w:color w:val="36424A"/>
      <w:sz w:val="72"/>
      <w:szCs w:val="72"/>
      <w:lang w:val="en-US"/>
    </w:rPr>
  </w:style>
  <w:style w:type="character" w:customStyle="1" w:styleId="Heading-StoneChar">
    <w:name w:val="Heading - Stone Char"/>
    <w:basedOn w:val="DefaultParagraphFont"/>
    <w:link w:val="Heading-Stone"/>
    <w:rsid w:val="00013A33"/>
    <w:rPr>
      <w:rFonts w:ascii="Arial" w:hAnsi="Arial" w:cs="Arial"/>
      <w:color w:val="36424A"/>
      <w:sz w:val="72"/>
      <w:szCs w:val="72"/>
      <w:lang w:val="en-US"/>
    </w:rPr>
  </w:style>
  <w:style w:type="paragraph" w:styleId="ListParagraph">
    <w:name w:val="List Paragraph"/>
    <w:basedOn w:val="Normal"/>
    <w:uiPriority w:val="34"/>
    <w:qFormat/>
    <w:rsid w:val="009F7E75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C75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BB"/>
  </w:style>
  <w:style w:type="paragraph" w:styleId="Footer">
    <w:name w:val="footer"/>
    <w:basedOn w:val="Normal"/>
    <w:link w:val="FooterChar"/>
    <w:uiPriority w:val="99"/>
    <w:unhideWhenUsed/>
    <w:rsid w:val="00DF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BB"/>
  </w:style>
  <w:style w:type="paragraph" w:styleId="BodyText">
    <w:name w:val="Body Text"/>
    <w:basedOn w:val="Normal"/>
    <w:link w:val="BodyTextChar"/>
    <w:uiPriority w:val="1"/>
    <w:qFormat/>
    <w:rsid w:val="002E598B"/>
    <w:pPr>
      <w:widowControl w:val="0"/>
      <w:spacing w:after="0" w:line="240" w:lineRule="auto"/>
      <w:ind w:left="1560" w:hanging="361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98B"/>
    <w:rPr>
      <w:rFonts w:ascii="Arial" w:eastAsia="Arial" w:hAnsi="Arial" w:cs="Times New Roman"/>
      <w:lang w:val="en-US"/>
    </w:rPr>
  </w:style>
  <w:style w:type="paragraph" w:styleId="Revision">
    <w:name w:val="Revision"/>
    <w:hidden/>
    <w:uiPriority w:val="99"/>
    <w:semiHidden/>
    <w:rsid w:val="00E968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5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e.AEAAC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derabusealber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elderabuse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9279-03C2-43C4-B128-7AC669CC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Medicine Hat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Ottenbreit</dc:creator>
  <cp:keywords/>
  <dc:description/>
  <cp:lastModifiedBy>Joanne Blinco</cp:lastModifiedBy>
  <cp:revision>8</cp:revision>
  <cp:lastPrinted>2021-04-08T16:35:00Z</cp:lastPrinted>
  <dcterms:created xsi:type="dcterms:W3CDTF">2024-04-26T15:24:00Z</dcterms:created>
  <dcterms:modified xsi:type="dcterms:W3CDTF">2024-04-29T14:35:00Z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2021-03-30T19:29:39Z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5ede62c0-8c21-48e0-9ef7-3a5a96dfa051</vt:lpwstr>
  </property>
  <property fmtid="{D5CDD505-2E9C-101B-9397-08002B2CF9AE}" pid="8" name="MSIP_Label_abf2ea38-542c-4b75-bd7d-582ec36a519f_ContentBits">
    <vt:lpwstr>2</vt:lpwstr>
  </property>
</Properties>
</file>